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0B" w:rsidRPr="007E4DFA" w:rsidRDefault="0086210B" w:rsidP="0086210B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4DFA">
        <w:rPr>
          <w:rFonts w:ascii="Times New Roman" w:hAnsi="Times New Roman" w:cs="Times New Roman"/>
          <w:color w:val="000000" w:themeColor="text1"/>
          <w:sz w:val="28"/>
          <w:szCs w:val="28"/>
        </w:rPr>
        <w:t>Appendix</w:t>
      </w:r>
    </w:p>
    <w:p w:rsidR="0086210B" w:rsidRPr="007E4DFA" w:rsidRDefault="0086210B" w:rsidP="0086210B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210B" w:rsidRPr="007E4DFA" w:rsidRDefault="0086210B" w:rsidP="0086210B">
      <w:pPr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E4DFA"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</w:rPr>
        <w:t>T</w:t>
      </w: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able S</w:t>
      </w:r>
      <w:r w:rsidRPr="007E4DFA">
        <w:rPr>
          <w:rFonts w:ascii="Times New Roman" w:eastAsiaTheme="minorEastAsia" w:hAnsi="Times New Roman" w:cs="Times New Roman" w:hint="eastAsia"/>
          <w:b/>
          <w:bCs/>
          <w:color w:val="000000" w:themeColor="text1"/>
          <w:shd w:val="clear" w:color="auto" w:fill="FFFFFF"/>
        </w:rPr>
        <w:t>1</w:t>
      </w: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Comparison of bootstrap support </w:t>
      </w:r>
      <w:proofErr w:type="gramStart"/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values(</w:t>
      </w:r>
      <w:proofErr w:type="gramEnd"/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BS) between gene-partitioned and </w:t>
      </w:r>
      <w:proofErr w:type="spellStart"/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unpartitioned</w:t>
      </w:r>
      <w:proofErr w:type="spellEnd"/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maximum likelihood (ML) analyses.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126"/>
        <w:gridCol w:w="2127"/>
        <w:gridCol w:w="1701"/>
      </w:tblGrid>
      <w:tr w:rsidR="0086210B" w:rsidRPr="007E4DFA" w:rsidTr="00E47D33">
        <w:trPr>
          <w:trHeight w:val="350"/>
        </w:trPr>
        <w:tc>
          <w:tcPr>
            <w:tcW w:w="2830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Node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BS (Partitioned)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BS (Unpartitioned)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ΔBS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(</w:t>
            </w:r>
            <w:r w:rsidRPr="007E4DFA">
              <w:rPr>
                <w:rFonts w:ascii="Times New Roman" w:hAnsi="Times New Roman"/>
                <w:i/>
                <w:color w:val="000000" w:themeColor="text1"/>
                <w:sz w:val="22"/>
              </w:rPr>
              <w:t>Amana</w:t>
            </w: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 xml:space="preserve"> + </w:t>
            </w:r>
            <w:r w:rsidRPr="007E4DFA">
              <w:rPr>
                <w:rFonts w:ascii="Times New Roman" w:hAnsi="Times New Roman"/>
                <w:i/>
                <w:color w:val="000000" w:themeColor="text1"/>
                <w:sz w:val="22"/>
              </w:rPr>
              <w:t>Erythronium</w:t>
            </w: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98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0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Erythronium crown</w:t>
            </w:r>
          </w:p>
        </w:tc>
        <w:tc>
          <w:tcPr>
            <w:tcW w:w="2126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98</w:t>
            </w:r>
          </w:p>
        </w:tc>
        <w:tc>
          <w:tcPr>
            <w:tcW w:w="2127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98</w:t>
            </w:r>
          </w:p>
        </w:tc>
        <w:tc>
          <w:tcPr>
            <w:tcW w:w="1701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0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Eurasia clade</w:t>
            </w:r>
          </w:p>
        </w:tc>
        <w:tc>
          <w:tcPr>
            <w:tcW w:w="2126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2127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0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ENA clade</w:t>
            </w:r>
          </w:p>
        </w:tc>
        <w:tc>
          <w:tcPr>
            <w:tcW w:w="2126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2127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0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WNA clade</w:t>
            </w:r>
          </w:p>
        </w:tc>
        <w:tc>
          <w:tcPr>
            <w:tcW w:w="2126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2127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0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ENA + Eurasia clade</w:t>
            </w:r>
          </w:p>
        </w:tc>
        <w:tc>
          <w:tcPr>
            <w:tcW w:w="2126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62</w:t>
            </w:r>
          </w:p>
        </w:tc>
        <w:tc>
          <w:tcPr>
            <w:tcW w:w="2127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56</w:t>
            </w:r>
          </w:p>
        </w:tc>
        <w:tc>
          <w:tcPr>
            <w:tcW w:w="1701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6</w:t>
            </w:r>
          </w:p>
        </w:tc>
      </w:tr>
      <w:tr w:rsidR="0086210B" w:rsidRPr="007E4DFA" w:rsidTr="00E47D33">
        <w:trPr>
          <w:trHeight w:val="419"/>
        </w:trPr>
        <w:tc>
          <w:tcPr>
            <w:tcW w:w="2830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 xml:space="preserve">WNA (excl. </w:t>
            </w:r>
            <w:r w:rsidRPr="007E4DFA">
              <w:rPr>
                <w:rFonts w:ascii="Times New Roman" w:hAnsi="Times New Roman"/>
                <w:i/>
                <w:color w:val="000000" w:themeColor="text1"/>
                <w:sz w:val="22"/>
              </w:rPr>
              <w:t>E. grandiflorum</w:t>
            </w: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87</w:t>
            </w:r>
          </w:p>
        </w:tc>
        <w:tc>
          <w:tcPr>
            <w:tcW w:w="2127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91</w:t>
            </w:r>
          </w:p>
        </w:tc>
        <w:tc>
          <w:tcPr>
            <w:tcW w:w="1701" w:type="dxa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</w:t>
            </w:r>
          </w:p>
        </w:tc>
      </w:tr>
    </w:tbl>
    <w:p w:rsidR="0086210B" w:rsidRPr="007E4DFA" w:rsidRDefault="0086210B" w:rsidP="0086210B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210B" w:rsidRPr="007E4DFA" w:rsidRDefault="0086210B" w:rsidP="0086210B">
      <w:pPr>
        <w:spacing w:after="0"/>
        <w:rPr>
          <w:rFonts w:ascii="Times New Roman" w:eastAsiaTheme="minorEastAsia" w:hAnsi="Times New Roman" w:cs="Times New Roman"/>
          <w:b/>
          <w:bCs/>
          <w:color w:val="000000" w:themeColor="text1"/>
          <w:shd w:val="clear" w:color="auto" w:fill="FFFFFF"/>
        </w:rPr>
      </w:pPr>
    </w:p>
    <w:p w:rsidR="0086210B" w:rsidRPr="007E4DFA" w:rsidRDefault="0086210B" w:rsidP="0086210B">
      <w:pPr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E4DFA"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</w:rPr>
        <w:t>T</w:t>
      </w: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able S</w:t>
      </w:r>
      <w:r w:rsidRPr="007E4DFA">
        <w:rPr>
          <w:rFonts w:ascii="Times New Roman" w:eastAsiaTheme="minorEastAsia" w:hAnsi="Times New Roman" w:cs="Times New Roman" w:hint="eastAsia"/>
          <w:b/>
          <w:bCs/>
          <w:color w:val="000000" w:themeColor="text1"/>
          <w:shd w:val="clear" w:color="auto" w:fill="FFFFFF"/>
        </w:rPr>
        <w:t>2</w:t>
      </w: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Sensitivity analysis of divergence-time estimates comparing primary and alternative root-age prior settings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1118"/>
        <w:gridCol w:w="1495"/>
        <w:gridCol w:w="1118"/>
        <w:gridCol w:w="1495"/>
        <w:gridCol w:w="1649"/>
      </w:tblGrid>
      <w:tr w:rsidR="0086210B" w:rsidRPr="007E4DFA" w:rsidTr="00E47D33">
        <w:trPr>
          <w:trHeight w:val="345"/>
        </w:trPr>
        <w:tc>
          <w:tcPr>
            <w:tcW w:w="0" w:type="auto"/>
            <w:vMerge w:val="restart"/>
            <w:vAlign w:val="center"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Node</w:t>
            </w:r>
          </w:p>
        </w:tc>
        <w:tc>
          <w:tcPr>
            <w:tcW w:w="0" w:type="auto"/>
            <w:gridSpan w:val="2"/>
            <w:vAlign w:val="center"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0" w:type="auto"/>
            <w:gridSpan w:val="2"/>
            <w:vAlign w:val="center"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Alternative</w:t>
            </w:r>
          </w:p>
        </w:tc>
        <w:tc>
          <w:tcPr>
            <w:tcW w:w="0" w:type="auto"/>
            <w:vMerge w:val="restart"/>
            <w:vAlign w:val="center"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HPD overlap (%)</w:t>
            </w:r>
          </w:p>
        </w:tc>
      </w:tr>
      <w:tr w:rsidR="0086210B" w:rsidRPr="007E4DFA" w:rsidTr="00E47D33">
        <w:trPr>
          <w:trHeight w:val="241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mean (Ma)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95% HPD (Ma)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mean (Ma)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95% HPD (Ma)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210B" w:rsidRPr="007E4DFA" w:rsidTr="00E47D33">
        <w:trPr>
          <w:trHeight w:val="690"/>
        </w:trPr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Family Liliaceae</w:t>
            </w:r>
          </w:p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68.5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45.0–88.4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64.0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46.7–80.6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78.2</w:t>
            </w:r>
          </w:p>
        </w:tc>
      </w:tr>
      <w:tr w:rsidR="0086210B" w:rsidRPr="007E4DFA" w:rsidTr="00E47D33">
        <w:trPr>
          <w:trHeight w:val="690"/>
        </w:trPr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Crown </w:t>
            </w:r>
            <w:r w:rsidRPr="007E4DFA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</w:rPr>
              <w:t>Erythronium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16.7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9.3–26.4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23.4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13.1–37.5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47.0</w:t>
            </w:r>
          </w:p>
        </w:tc>
      </w:tr>
      <w:tr w:rsidR="0086210B" w:rsidRPr="007E4DFA" w:rsidTr="00E47D33">
        <w:trPr>
          <w:trHeight w:val="690"/>
        </w:trPr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Eurasian clade</w:t>
            </w:r>
          </w:p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8.7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3.7–18.0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13.4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4.8–24.0</w:t>
            </w:r>
          </w:p>
        </w:tc>
        <w:tc>
          <w:tcPr>
            <w:tcW w:w="0" w:type="auto"/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65.1</w:t>
            </w:r>
          </w:p>
        </w:tc>
      </w:tr>
      <w:tr w:rsidR="0086210B" w:rsidRPr="007E4DFA" w:rsidTr="00E47D33">
        <w:trPr>
          <w:trHeight w:val="69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Eastern North America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1.1–13.4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1.5–9.2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62.8</w:t>
            </w:r>
          </w:p>
        </w:tc>
      </w:tr>
      <w:tr w:rsidR="0086210B" w:rsidRPr="007E4DFA" w:rsidTr="00E47D33">
        <w:trPr>
          <w:trHeight w:val="690"/>
        </w:trPr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E4DF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Western North </w:t>
            </w:r>
            <w:r w:rsidRPr="007E4DF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America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1.1–9.3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1.8–17.7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pStyle w:val="EndNoteBibliography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7E4DFA">
              <w:rPr>
                <w:rFonts w:ascii="Times New Roman" w:hAnsi="Times New Roman"/>
                <w:color w:val="000000" w:themeColor="text1"/>
                <w:sz w:val="22"/>
              </w:rPr>
              <w:t>45.3</w:t>
            </w:r>
          </w:p>
        </w:tc>
      </w:tr>
    </w:tbl>
    <w:p w:rsidR="0086210B" w:rsidRPr="007E4DFA" w:rsidRDefault="0086210B" w:rsidP="0086210B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E4DFA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HPD overlap (%) was calculated as the ratio of the intersection length to the union length of the two 95% HPD intervals</w:t>
      </w:r>
    </w:p>
    <w:p w:rsidR="0086210B" w:rsidRPr="007E4DFA" w:rsidRDefault="0086210B" w:rsidP="0086210B">
      <w:pPr>
        <w:spacing w:after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br w:type="page"/>
      </w:r>
    </w:p>
    <w:p w:rsidR="0086210B" w:rsidRPr="007E4DFA" w:rsidRDefault="0086210B" w:rsidP="0086210B">
      <w:pPr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7E4DFA"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</w:rPr>
        <w:lastRenderedPageBreak/>
        <w:t>T</w:t>
      </w: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able S</w:t>
      </w:r>
      <w:r w:rsidRPr="007E4DFA">
        <w:rPr>
          <w:rFonts w:ascii="Times New Roman" w:eastAsiaTheme="minorEastAsia" w:hAnsi="Times New Roman" w:cs="Times New Roman" w:hint="eastAsia"/>
          <w:b/>
          <w:bCs/>
          <w:color w:val="000000" w:themeColor="text1"/>
          <w:shd w:val="clear" w:color="auto" w:fill="FFFFFF"/>
        </w:rPr>
        <w:t>3</w:t>
      </w:r>
      <w:r w:rsidRPr="007E4DF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Summary of </w:t>
      </w:r>
      <w:proofErr w:type="spellStart"/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plastome</w:t>
      </w:r>
      <w:proofErr w:type="spellEnd"/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assembly quality and validation metrics.</w:t>
      </w:r>
      <w:proofErr w:type="gramEnd"/>
    </w:p>
    <w:tbl>
      <w:tblPr>
        <w:tblStyle w:val="PlainTable2"/>
        <w:tblW w:w="8789" w:type="dxa"/>
        <w:tblBorders>
          <w:top w:val="single" w:sz="18" w:space="0" w:color="auto"/>
          <w:bottom w:val="single" w:sz="18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883"/>
        <w:gridCol w:w="1031"/>
        <w:gridCol w:w="1032"/>
        <w:gridCol w:w="1150"/>
        <w:gridCol w:w="1152"/>
        <w:gridCol w:w="1541"/>
      </w:tblGrid>
      <w:tr w:rsidR="0086210B" w:rsidRPr="007E4DFA" w:rsidTr="00E47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ind w:left="90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Species</w:t>
            </w:r>
          </w:p>
        </w:tc>
        <w:tc>
          <w:tcPr>
            <w:tcW w:w="1031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Plastome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 xml:space="preserve"> length (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bp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32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Mean depth (×)</w:t>
            </w:r>
          </w:p>
        </w:tc>
        <w:tc>
          <w:tcPr>
            <w:tcW w:w="1150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Depth range (×)</w:t>
            </w:r>
          </w:p>
        </w:tc>
        <w:tc>
          <w:tcPr>
            <w:tcW w:w="1152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Breadth of coverage (%)</w:t>
            </w:r>
          </w:p>
        </w:tc>
        <w:tc>
          <w:tcPr>
            <w:tcW w:w="1541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:rsidR="0086210B" w:rsidRPr="007E4DFA" w:rsidRDefault="0086210B" w:rsidP="00E47D33">
            <w:pPr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 xml:space="preserve">Reads mapped to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>plastome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</w:rPr>
              <w:t xml:space="preserve"> (%)</w:t>
            </w:r>
          </w:p>
        </w:tc>
      </w:tr>
      <w:tr w:rsidR="0086210B" w:rsidRPr="007E4DFA" w:rsidTr="00E47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tcBorders>
              <w:top w:val="single" w:sz="12" w:space="0" w:color="auto"/>
            </w:tcBorders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albidum</w:t>
            </w:r>
            <w:proofErr w:type="spellEnd"/>
          </w:p>
        </w:tc>
        <w:tc>
          <w:tcPr>
            <w:tcW w:w="1031" w:type="dxa"/>
            <w:tcBorders>
              <w:top w:val="single" w:sz="12" w:space="0" w:color="auto"/>
            </w:tcBorders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151,599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323.5</w:t>
            </w:r>
          </w:p>
        </w:tc>
        <w:tc>
          <w:tcPr>
            <w:tcW w:w="1150" w:type="dxa"/>
            <w:tcBorders>
              <w:top w:val="single" w:sz="12" w:space="0" w:color="auto"/>
            </w:tcBorders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36–487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tcBorders>
              <w:top w:val="single" w:sz="12" w:space="0" w:color="auto"/>
            </w:tcBorders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1.15</w:t>
            </w:r>
          </w:p>
        </w:tc>
      </w:tr>
      <w:tr w:rsidR="0086210B" w:rsidRPr="007E4DFA" w:rsidTr="00E47D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californicum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149,438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86.8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23–244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0.93</w:t>
            </w:r>
          </w:p>
        </w:tc>
      </w:tr>
      <w:tr w:rsidR="0086210B" w:rsidRPr="007E4DFA" w:rsidTr="00E47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caucasicum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151,312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114.2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18–409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1.26</w:t>
            </w:r>
          </w:p>
        </w:tc>
      </w:tr>
      <w:tr w:rsidR="0086210B" w:rsidRPr="007E4DFA" w:rsidTr="00E47D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citrinum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150,695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202.3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20–752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0.77</w:t>
            </w:r>
          </w:p>
        </w:tc>
      </w:tr>
      <w:tr w:rsidR="0086210B" w:rsidRPr="007E4DFA" w:rsidTr="00E47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dens-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canis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151,370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284.1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130–402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1.07</w:t>
            </w:r>
          </w:p>
        </w:tc>
      </w:tr>
      <w:tr w:rsidR="0086210B" w:rsidRPr="007E4DFA" w:rsidTr="00E47D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grandiflorum</w:t>
            </w:r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150,647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182.7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79–280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</w:tr>
      <w:tr w:rsidR="0086210B" w:rsidRPr="007E4DFA" w:rsidTr="00E47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japonicum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151,827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674.7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332–951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3.84</w:t>
            </w:r>
          </w:p>
        </w:tc>
      </w:tr>
      <w:tr w:rsidR="0086210B" w:rsidRPr="007E4DFA" w:rsidTr="00E47D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multiscapideum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150,727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179.4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18–368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1.45</w:t>
            </w:r>
          </w:p>
        </w:tc>
      </w:tr>
      <w:tr w:rsidR="0086210B" w:rsidRPr="007E4DFA" w:rsidTr="00E47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revolutum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150,651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632.7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126–841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2.49</w:t>
            </w:r>
          </w:p>
        </w:tc>
      </w:tr>
      <w:tr w:rsidR="0086210B" w:rsidRPr="007E4DFA" w:rsidTr="00E47D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tuolumnense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150,770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59.8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3–148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0.5</w:t>
            </w:r>
          </w:p>
        </w:tc>
      </w:tr>
      <w:tr w:rsidR="0086210B" w:rsidRPr="007E4DFA" w:rsidTr="00E47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hideMark/>
          </w:tcPr>
          <w:p w:rsidR="0086210B" w:rsidRPr="007E4DFA" w:rsidRDefault="0086210B" w:rsidP="00E47D33">
            <w:pPr>
              <w:ind w:left="90"/>
              <w:jc w:val="left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Erythronium</w:t>
            </w:r>
            <w:proofErr w:type="spellEnd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 xml:space="preserve"> </w:t>
            </w:r>
            <w:proofErr w:type="spellStart"/>
            <w:r w:rsidRPr="007E4DFA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americanum</w:t>
            </w:r>
            <w:proofErr w:type="spellEnd"/>
          </w:p>
        </w:tc>
        <w:tc>
          <w:tcPr>
            <w:tcW w:w="103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151,114</w:t>
            </w:r>
          </w:p>
        </w:tc>
        <w:tc>
          <w:tcPr>
            <w:tcW w:w="103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149.2</w:t>
            </w:r>
          </w:p>
        </w:tc>
        <w:tc>
          <w:tcPr>
            <w:tcW w:w="1150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28–230</w:t>
            </w:r>
          </w:p>
        </w:tc>
        <w:tc>
          <w:tcPr>
            <w:tcW w:w="1152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100</w:t>
            </w:r>
          </w:p>
        </w:tc>
        <w:tc>
          <w:tcPr>
            <w:tcW w:w="1541" w:type="dxa"/>
            <w:hideMark/>
          </w:tcPr>
          <w:p w:rsidR="0086210B" w:rsidRPr="007E4DFA" w:rsidRDefault="0086210B" w:rsidP="00E47D33">
            <w:pPr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7E4DFA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1"/>
                <w:szCs w:val="21"/>
              </w:rPr>
              <w:t>0.85</w:t>
            </w:r>
          </w:p>
        </w:tc>
      </w:tr>
    </w:tbl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rFonts w:eastAsiaTheme="minorEastAsia"/>
          <w:noProof/>
          <w:color w:val="000000" w:themeColor="text1"/>
        </w:rPr>
      </w:pPr>
      <w:r w:rsidRPr="007E4DFA">
        <w:rPr>
          <w:noProof/>
          <w:color w:val="000000" w:themeColor="text1"/>
        </w:rPr>
        <w:br w:type="page"/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noProof/>
          <w:color w:val="000000" w:themeColor="text1"/>
          <w:lang w:val="en-PH" w:eastAsia="en-PH"/>
        </w:rPr>
        <w:lastRenderedPageBreak/>
        <w:drawing>
          <wp:inline distT="0" distB="0" distL="0" distR="0" wp14:anchorId="67ECDDA1" wp14:editId="04FF559D">
            <wp:extent cx="4606290" cy="4606290"/>
            <wp:effectExtent l="0" t="0" r="0" b="381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jc w:val="left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 w:hint="eastAsia"/>
          <w:b/>
          <w:bCs/>
          <w:color w:val="000000" w:themeColor="text1"/>
          <w:sz w:val="22"/>
        </w:rPr>
        <w:t>S</w:t>
      </w:r>
      <w:r w:rsidRPr="007E4DFA">
        <w:rPr>
          <w:rFonts w:eastAsiaTheme="minorEastAsia"/>
          <w:b/>
          <w:bCs/>
          <w:color w:val="000000" w:themeColor="text1"/>
          <w:sz w:val="22"/>
        </w:rPr>
        <w:t>1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albidum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C921FE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52841FA2" wp14:editId="31BE5B26">
            <wp:extent cx="4606290" cy="4606290"/>
            <wp:effectExtent l="0" t="0" r="0" b="381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S2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americanum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color w:val="000000" w:themeColor="text1"/>
        </w:r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6EBB9DB7" wp14:editId="2E9E5850">
            <wp:extent cx="4606290" cy="4606290"/>
            <wp:effectExtent l="0" t="0" r="0" b="381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S3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californicum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color w:val="000000" w:themeColor="text1"/>
        </w:r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0BAEBF05" wp14:editId="49E2E102">
            <wp:extent cx="4606290" cy="4606290"/>
            <wp:effectExtent l="0" t="0" r="0" b="381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>Figure</w:t>
      </w:r>
      <w:r w:rsidRPr="007E4DFA">
        <w:rPr>
          <w:color w:val="000000" w:themeColor="text1"/>
          <w:sz w:val="22"/>
        </w:rPr>
        <w:t xml:space="preserve"> </w:t>
      </w:r>
      <w:r w:rsidRPr="007E4DFA">
        <w:rPr>
          <w:rFonts w:eastAsiaTheme="minorEastAsia"/>
          <w:b/>
          <w:bCs/>
          <w:color w:val="000000" w:themeColor="text1"/>
          <w:sz w:val="22"/>
        </w:rPr>
        <w:t xml:space="preserve">S4 </w:t>
      </w:r>
      <w:r w:rsidRPr="007E4DFA">
        <w:rPr>
          <w:color w:val="000000" w:themeColor="text1"/>
          <w:sz w:val="22"/>
        </w:rPr>
        <w:t xml:space="preserve">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caucasicum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C921FE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1FDEDA6D" wp14:editId="436E5320">
            <wp:extent cx="4606290" cy="4606290"/>
            <wp:effectExtent l="0" t="0" r="0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S5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 xml:space="preserve">.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citrinum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1F1070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7A77D00F" wp14:editId="6175BCB1">
            <wp:extent cx="4606290" cy="4606290"/>
            <wp:effectExtent l="0" t="0" r="0" b="381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S6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asciiTheme="minorEastAsia" w:eastAsiaTheme="minorEastAsia" w:hAnsi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r w:rsidRPr="007E4DFA">
        <w:rPr>
          <w:rFonts w:eastAsiaTheme="minorEastAsia"/>
          <w:i/>
          <w:iCs/>
          <w:color w:val="000000" w:themeColor="text1"/>
          <w:sz w:val="22"/>
        </w:rPr>
        <w:t>dens-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canis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1F1070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7CD4CC35" wp14:editId="0AAAFB67">
            <wp:extent cx="4606290" cy="4606290"/>
            <wp:effectExtent l="0" t="0" r="0" b="381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S7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r w:rsidRPr="007E4DFA">
        <w:rPr>
          <w:rFonts w:eastAsiaTheme="minorEastAsia"/>
          <w:i/>
          <w:iCs/>
          <w:color w:val="000000" w:themeColor="text1"/>
          <w:sz w:val="22"/>
        </w:rPr>
        <w:t>grandiflorum</w:t>
      </w:r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1F1070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5C7B527E" wp14:editId="02188ED5">
            <wp:extent cx="4606290" cy="4606290"/>
            <wp:effectExtent l="0" t="0" r="0" b="381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S8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multiscapideum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1F1070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032C39CE" wp14:editId="52B23EB2">
            <wp:extent cx="4606290" cy="4606290"/>
            <wp:effectExtent l="0" t="0" r="0" b="381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 xml:space="preserve">Figure </w:t>
      </w:r>
      <w:r w:rsidRPr="007E4DFA">
        <w:rPr>
          <w:rFonts w:eastAsiaTheme="minorEastAsia"/>
          <w:b/>
          <w:bCs/>
          <w:color w:val="000000" w:themeColor="text1"/>
          <w:sz w:val="22"/>
        </w:rPr>
        <w:t>S9</w:t>
      </w:r>
      <w:r w:rsidRPr="007E4DFA">
        <w:rPr>
          <w:color w:val="000000" w:themeColor="text1"/>
          <w:sz w:val="22"/>
        </w:rPr>
        <w:t xml:space="preserve"> 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revolutum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86210B" w:rsidRPr="007E4DFA" w:rsidSect="001F1070">
          <w:pgSz w:w="11906" w:h="16838" w:code="9"/>
          <w:pgMar w:top="1701" w:right="1531" w:bottom="1701" w:left="1531" w:header="851" w:footer="992" w:gutter="0"/>
          <w:cols w:space="425"/>
          <w:docGrid w:linePitch="360"/>
        </w:sect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</w:p>
    <w:p w:rsidR="0086210B" w:rsidRPr="007E4DFA" w:rsidRDefault="0086210B" w:rsidP="0086210B">
      <w:pPr>
        <w:pStyle w:val="a"/>
        <w:spacing w:line="480" w:lineRule="auto"/>
        <w:ind w:left="110"/>
        <w:jc w:val="center"/>
        <w:rPr>
          <w:b/>
          <w:bCs/>
          <w:color w:val="000000" w:themeColor="text1"/>
          <w:sz w:val="22"/>
        </w:rPr>
      </w:pPr>
      <w:r w:rsidRPr="007E4DFA">
        <w:rPr>
          <w:b/>
          <w:bCs/>
          <w:noProof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1B1C1F9C" wp14:editId="20F5538E">
            <wp:extent cx="4876800" cy="4876800"/>
            <wp:effectExtent l="0" t="0" r="0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a"/>
        <w:spacing w:line="480" w:lineRule="auto"/>
        <w:ind w:leftChars="0" w:left="0"/>
        <w:rPr>
          <w:color w:val="000000" w:themeColor="text1"/>
          <w:sz w:val="22"/>
        </w:rPr>
      </w:pPr>
      <w:r w:rsidRPr="007E4DFA">
        <w:rPr>
          <w:b/>
          <w:bCs/>
          <w:color w:val="000000" w:themeColor="text1"/>
          <w:sz w:val="22"/>
        </w:rPr>
        <w:t>Figure</w:t>
      </w:r>
      <w:r w:rsidRPr="007E4DFA">
        <w:rPr>
          <w:color w:val="000000" w:themeColor="text1"/>
          <w:sz w:val="22"/>
        </w:rPr>
        <w:t xml:space="preserve"> </w:t>
      </w:r>
      <w:r w:rsidRPr="007E4DFA">
        <w:rPr>
          <w:rFonts w:eastAsiaTheme="minorEastAsia"/>
          <w:b/>
          <w:bCs/>
          <w:color w:val="000000" w:themeColor="text1"/>
          <w:sz w:val="22"/>
        </w:rPr>
        <w:t xml:space="preserve">S10 </w:t>
      </w:r>
      <w:r w:rsidRPr="007E4DFA">
        <w:rPr>
          <w:color w:val="000000" w:themeColor="text1"/>
          <w:sz w:val="22"/>
        </w:rPr>
        <w:t xml:space="preserve">Representative </w:t>
      </w:r>
      <w:proofErr w:type="spellStart"/>
      <w:proofErr w:type="gramStart"/>
      <w:r w:rsidRPr="007E4DFA">
        <w:rPr>
          <w:color w:val="000000" w:themeColor="text1"/>
          <w:sz w:val="22"/>
        </w:rPr>
        <w:t>plastome</w:t>
      </w:r>
      <w:proofErr w:type="spellEnd"/>
      <w:proofErr w:type="gramEnd"/>
      <w:r w:rsidRPr="007E4DFA">
        <w:rPr>
          <w:color w:val="000000" w:themeColor="text1"/>
          <w:sz w:val="22"/>
        </w:rPr>
        <w:t xml:space="preserve"> map of </w:t>
      </w:r>
      <w:r w:rsidRPr="007E4DFA">
        <w:rPr>
          <w:i/>
          <w:iCs/>
          <w:color w:val="000000" w:themeColor="text1"/>
          <w:sz w:val="22"/>
        </w:rPr>
        <w:t>E</w:t>
      </w:r>
      <w:r w:rsidRPr="007E4DFA">
        <w:rPr>
          <w:rFonts w:eastAsiaTheme="minorEastAsia"/>
          <w:i/>
          <w:iCs/>
          <w:color w:val="000000" w:themeColor="text1"/>
          <w:sz w:val="22"/>
        </w:rPr>
        <w:t>.</w:t>
      </w:r>
      <w:r w:rsidRPr="007E4DFA">
        <w:rPr>
          <w:i/>
          <w:iCs/>
          <w:color w:val="000000" w:themeColor="text1"/>
          <w:sz w:val="22"/>
        </w:rPr>
        <w:t xml:space="preserve"> </w:t>
      </w:r>
      <w:proofErr w:type="spellStart"/>
      <w:r w:rsidRPr="007E4DFA">
        <w:rPr>
          <w:rFonts w:eastAsiaTheme="minorEastAsia"/>
          <w:i/>
          <w:iCs/>
          <w:color w:val="000000" w:themeColor="text1"/>
          <w:sz w:val="22"/>
        </w:rPr>
        <w:t>tuolumnense</w:t>
      </w:r>
      <w:proofErr w:type="spellEnd"/>
      <w:r w:rsidRPr="007E4DFA">
        <w:rPr>
          <w:color w:val="000000" w:themeColor="text1"/>
          <w:sz w:val="22"/>
        </w:rPr>
        <w:t>.</w:t>
      </w:r>
    </w:p>
    <w:p w:rsidR="0086210B" w:rsidRPr="007E4DFA" w:rsidRDefault="0086210B" w:rsidP="0086210B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are color-coded by functional group. </w:t>
      </w:r>
      <w:r w:rsidRPr="007E4DFA">
        <w:rPr>
          <w:rFonts w:ascii="Times New Roman" w:hAnsi="Times New Roman" w:cs="Times New Roman"/>
          <w:color w:val="000000" w:themeColor="text1"/>
        </w:rPr>
        <w:t>The transcription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genes occurs in a clockwise direction for those positioned on the inner side of the circular map and </w:t>
      </w:r>
      <w:r w:rsidRPr="007E4DFA">
        <w:rPr>
          <w:rFonts w:ascii="Times New Roman" w:hAnsi="Times New Roman" w:cs="Times New Roman"/>
          <w:color w:val="000000" w:themeColor="text1"/>
        </w:rPr>
        <w:t xml:space="preserve">in a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counterclockwise </w:t>
      </w:r>
      <w:r w:rsidRPr="007E4DFA">
        <w:rPr>
          <w:rFonts w:ascii="Times New Roman" w:hAnsi="Times New Roman" w:cs="Times New Roman"/>
          <w:color w:val="000000" w:themeColor="text1"/>
        </w:rPr>
        <w:t xml:space="preserve">direction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those on the outer side. </w:t>
      </w:r>
      <w:r w:rsidRPr="007E4DFA">
        <w:rPr>
          <w:rFonts w:ascii="Times New Roman" w:hAnsi="Times New Roman" w:cs="Times New Roman"/>
          <w:color w:val="000000" w:themeColor="text1"/>
        </w:rPr>
        <w:t xml:space="preserve">The </w:t>
      </w:r>
      <w:r w:rsidRPr="007E4DFA">
        <w:rPr>
          <w:rFonts w:ascii="Times New Roman" w:hAnsi="Times New Roman" w:cs="Times New Roman"/>
          <w:color w:val="000000" w:themeColor="text1"/>
          <w:shd w:val="clear" w:color="auto" w:fill="FFFFFF"/>
        </w:rPr>
        <w:t>GC content is depicted by a central gray circle.</w:t>
      </w:r>
      <w:r w:rsidRPr="007E4DFA">
        <w:rPr>
          <w:rFonts w:ascii="Times New Roman" w:hAnsi="Times New Roman" w:cs="Times New Roman"/>
          <w:color w:val="000000" w:themeColor="text1"/>
        </w:rPr>
        <w:br w:type="page"/>
      </w:r>
    </w:p>
    <w:p w:rsidR="0086210B" w:rsidRPr="007E4DFA" w:rsidRDefault="0086210B" w:rsidP="0086210B">
      <w:pPr>
        <w:pStyle w:val="EndNoteBibliography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E4DFA">
        <w:rPr>
          <w:rFonts w:ascii="Times New Roman" w:hAnsi="Times New Roman" w:cs="Times New Roman"/>
          <w:color w:val="000000" w:themeColor="text1"/>
          <w:sz w:val="22"/>
          <w:lang w:val="en-PH" w:eastAsia="en-PH"/>
        </w:rPr>
        <w:lastRenderedPageBreak/>
        <w:drawing>
          <wp:inline distT="0" distB="0" distL="0" distR="0" wp14:anchorId="7E9324AE" wp14:editId="6DF32CF5">
            <wp:extent cx="5715000" cy="7088715"/>
            <wp:effectExtent l="0" t="0" r="0" b="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16" cy="709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B" w:rsidRPr="007E4DFA" w:rsidRDefault="0086210B" w:rsidP="0086210B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7E4DFA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Figure</w:t>
      </w:r>
      <w:r w:rsidRPr="007E4DF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7E4DFA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S11</w:t>
      </w:r>
      <w:r w:rsidRPr="007E4DFA">
        <w:rPr>
          <w:rFonts w:ascii="Times New Roman" w:hAnsi="Times New Roman" w:cs="Times New Roman"/>
          <w:color w:val="000000" w:themeColor="text1"/>
          <w:sz w:val="22"/>
        </w:rPr>
        <w:t xml:space="preserve"> The Maximum Parsimony bootstrap consensus tree of 48 taxa inferred from 78 CDS. Numbers above the node indicate maximum parsimony bootstrap support values (MP-BS). Only support under MP-BS = 100% is shown.</w:t>
      </w:r>
    </w:p>
    <w:p w:rsidR="00BD3D06" w:rsidRDefault="00BD3D06">
      <w:bookmarkStart w:id="0" w:name="_GoBack"/>
      <w:bookmarkEnd w:id="0"/>
    </w:p>
    <w:sectPr w:rsidR="00BD3D06" w:rsidSect="00522C4B">
      <w:pgSz w:w="11906" w:h="16838" w:code="9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0B"/>
    <w:rsid w:val="0086210B"/>
    <w:rsid w:val="00BD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qFormat/>
    <w:rsid w:val="0086210B"/>
    <w:pPr>
      <w:widowControl w:val="0"/>
      <w:wordWrap w:val="0"/>
      <w:autoSpaceDE w:val="0"/>
      <w:autoSpaceDN w:val="0"/>
      <w:spacing w:after="0" w:line="240" w:lineRule="auto"/>
      <w:ind w:leftChars="50" w:left="100"/>
      <w:jc w:val="both"/>
    </w:pPr>
    <w:rPr>
      <w:rFonts w:ascii="Times New Roman" w:eastAsia="Times New Roman" w:hAnsi="Times New Roman" w:cs="Times New Roman"/>
      <w:color w:val="000000"/>
      <w:kern w:val="2"/>
      <w:sz w:val="18"/>
      <w:shd w:val="clear" w:color="auto" w:fill="FFFFFF"/>
      <w:lang w:val="en-US" w:eastAsia="ko-KR"/>
    </w:rPr>
  </w:style>
  <w:style w:type="table" w:styleId="TableGrid">
    <w:name w:val="Table Grid"/>
    <w:basedOn w:val="TableNormal"/>
    <w:uiPriority w:val="39"/>
    <w:rsid w:val="0086210B"/>
    <w:pPr>
      <w:spacing w:after="0" w:line="240" w:lineRule="auto"/>
      <w:jc w:val="distribute"/>
    </w:pPr>
    <w:rPr>
      <w:rFonts w:ascii="Times New Roman" w:eastAsiaTheme="minorEastAsia" w:hAnsi="Times New Roman" w:cs="Times New Roman"/>
      <w:kern w:val="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86210B"/>
    <w:pPr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Normal"/>
    <w:link w:val="EndNoteBibliographyChar"/>
    <w:rsid w:val="0086210B"/>
    <w:pPr>
      <w:spacing w:after="160" w:line="240" w:lineRule="auto"/>
      <w:jc w:val="both"/>
    </w:pPr>
    <w:rPr>
      <w:rFonts w:ascii="Malgun Gothic" w:eastAsia="Malgun Gothic" w:hAnsi="Malgun Gothic"/>
      <w:noProof/>
      <w:kern w:val="2"/>
      <w:sz w:val="18"/>
      <w:lang w:val="en-US" w:eastAsia="ko-KR"/>
    </w:rPr>
  </w:style>
  <w:style w:type="character" w:customStyle="1" w:styleId="EndNoteBibliographyChar">
    <w:name w:val="EndNote Bibliography Char"/>
    <w:basedOn w:val="DefaultParagraphFont"/>
    <w:link w:val="EndNoteBibliography"/>
    <w:rsid w:val="0086210B"/>
    <w:rPr>
      <w:rFonts w:ascii="Malgun Gothic" w:eastAsia="Malgun Gothic" w:hAnsi="Malgun Gothic"/>
      <w:noProof/>
      <w:kern w:val="2"/>
      <w:sz w:val="18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10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62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qFormat/>
    <w:rsid w:val="0086210B"/>
    <w:pPr>
      <w:widowControl w:val="0"/>
      <w:wordWrap w:val="0"/>
      <w:autoSpaceDE w:val="0"/>
      <w:autoSpaceDN w:val="0"/>
      <w:spacing w:after="0" w:line="240" w:lineRule="auto"/>
      <w:ind w:leftChars="50" w:left="100"/>
      <w:jc w:val="both"/>
    </w:pPr>
    <w:rPr>
      <w:rFonts w:ascii="Times New Roman" w:eastAsia="Times New Roman" w:hAnsi="Times New Roman" w:cs="Times New Roman"/>
      <w:color w:val="000000"/>
      <w:kern w:val="2"/>
      <w:sz w:val="18"/>
      <w:shd w:val="clear" w:color="auto" w:fill="FFFFFF"/>
      <w:lang w:val="en-US" w:eastAsia="ko-KR"/>
    </w:rPr>
  </w:style>
  <w:style w:type="table" w:styleId="TableGrid">
    <w:name w:val="Table Grid"/>
    <w:basedOn w:val="TableNormal"/>
    <w:uiPriority w:val="39"/>
    <w:rsid w:val="0086210B"/>
    <w:pPr>
      <w:spacing w:after="0" w:line="240" w:lineRule="auto"/>
      <w:jc w:val="distribute"/>
    </w:pPr>
    <w:rPr>
      <w:rFonts w:ascii="Times New Roman" w:eastAsiaTheme="minorEastAsia" w:hAnsi="Times New Roman" w:cs="Times New Roman"/>
      <w:kern w:val="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86210B"/>
    <w:pPr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Normal"/>
    <w:link w:val="EndNoteBibliographyChar"/>
    <w:rsid w:val="0086210B"/>
    <w:pPr>
      <w:spacing w:after="160" w:line="240" w:lineRule="auto"/>
      <w:jc w:val="both"/>
    </w:pPr>
    <w:rPr>
      <w:rFonts w:ascii="Malgun Gothic" w:eastAsia="Malgun Gothic" w:hAnsi="Malgun Gothic"/>
      <w:noProof/>
      <w:kern w:val="2"/>
      <w:sz w:val="18"/>
      <w:lang w:val="en-US" w:eastAsia="ko-KR"/>
    </w:rPr>
  </w:style>
  <w:style w:type="character" w:customStyle="1" w:styleId="EndNoteBibliographyChar">
    <w:name w:val="EndNote Bibliography Char"/>
    <w:basedOn w:val="DefaultParagraphFont"/>
    <w:link w:val="EndNoteBibliography"/>
    <w:rsid w:val="0086210B"/>
    <w:rPr>
      <w:rFonts w:ascii="Malgun Gothic" w:eastAsia="Malgun Gothic" w:hAnsi="Malgun Gothic"/>
      <w:noProof/>
      <w:kern w:val="2"/>
      <w:sz w:val="18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10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62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Cuizon</dc:creator>
  <cp:lastModifiedBy>Jenny Cuizon</cp:lastModifiedBy>
  <cp:revision>1</cp:revision>
  <dcterms:created xsi:type="dcterms:W3CDTF">2026-03-29T12:17:00Z</dcterms:created>
  <dcterms:modified xsi:type="dcterms:W3CDTF">2026-03-29T12:18:00Z</dcterms:modified>
</cp:coreProperties>
</file>