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712D5" w14:textId="77777777" w:rsidR="00371E95" w:rsidRDefault="00B51FB7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eastAsia="等线" w:hAnsi="Times New Roman" w:cs="Times New Roman"/>
          <w:b/>
          <w:bCs/>
          <w:noProof/>
          <w:sz w:val="32"/>
          <w:szCs w:val="32"/>
          <w:shd w:val="clear" w:color="auto" w:fill="FFFFFF"/>
        </w:rPr>
        <w:drawing>
          <wp:inline distT="0" distB="0" distL="114300" distR="114300" wp14:anchorId="66EA808B" wp14:editId="4D52488F">
            <wp:extent cx="7086600" cy="7275830"/>
            <wp:effectExtent l="0" t="0" r="0" b="1270"/>
            <wp:docPr id="1" name="图片 1" descr="Figu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27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1DC9B" w14:textId="3BE70E72" w:rsidR="00371E95" w:rsidRPr="00C363DA" w:rsidRDefault="00B51FB7" w:rsidP="00C363DA">
      <w:pPr>
        <w:spacing w:line="360" w:lineRule="auto"/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</w:pPr>
      <w:bookmarkStart w:id="0" w:name="_Hlk218589837"/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>Figure S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>1</w:t>
      </w:r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>Correlation matrix showing pairwise relationships among ear weight (EW), cob weight (CW), kernel weight (KW) and kernel rate (KR) across seven environments and their best linear unbiased predictions (BLUPs).</w:t>
      </w:r>
      <w:bookmarkEnd w:id="0"/>
    </w:p>
    <w:p w14:paraId="2508CD59" w14:textId="77777777" w:rsidR="00371E95" w:rsidRDefault="00371E95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sz w:val="32"/>
          <w:szCs w:val="32"/>
          <w:shd w:val="clear" w:color="auto" w:fill="FFFFFF"/>
        </w:rPr>
      </w:pPr>
    </w:p>
    <w:p w14:paraId="5ADF46D7" w14:textId="479408DB" w:rsidR="00371E95" w:rsidRDefault="00B51FB7" w:rsidP="00C363DA">
      <w:pPr>
        <w:spacing w:line="360" w:lineRule="auto"/>
        <w:jc w:val="center"/>
        <w:rPr>
          <w:rFonts w:ascii="Times New Roman" w:eastAsia="等线" w:hAnsi="Times New Roman" w:cs="Times New Roman" w:hint="eastAsia"/>
          <w:b/>
          <w:bCs/>
          <w:sz w:val="32"/>
          <w:szCs w:val="32"/>
          <w:shd w:val="clear" w:color="auto" w:fill="FFFFFF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32"/>
          <w:szCs w:val="32"/>
          <w:shd w:val="clear" w:color="auto" w:fill="FFFFFF"/>
        </w:rPr>
        <w:lastRenderedPageBreak/>
        <w:drawing>
          <wp:inline distT="0" distB="0" distL="114300" distR="114300" wp14:anchorId="68B67DA6" wp14:editId="3BFF3221">
            <wp:extent cx="6492240" cy="6599555"/>
            <wp:effectExtent l="0" t="0" r="3810" b="0"/>
            <wp:docPr id="30" name="图片 30" descr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Fig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4195" cy="660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D82DE" w14:textId="1524A203" w:rsidR="00371E95" w:rsidRDefault="00B51FB7">
      <w:pPr>
        <w:spacing w:line="360" w:lineRule="auto"/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</w:pPr>
      <w:bookmarkStart w:id="1" w:name="_Hlk218589854"/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>Figure S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>2</w:t>
      </w:r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 xml:space="preserve">. Evaluation of GWAS models using quantile-quantile (Q-Q) plots for four traits based on BLUP values. </w:t>
      </w:r>
      <w:r w:rsidRPr="00C363DA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(a) Q-Q plots for CW under Q, K, and Q+K models. (b) Q-Q plots for EW under the three models. (c) Q-Q plots for KR under the three models. (d) Q-Q plots f</w:t>
      </w:r>
      <w:r w:rsidRPr="00C363DA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or KW under the three models. The x-axis represents expected 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-log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  <w:vertAlign w:val="subscript"/>
        </w:rPr>
        <w:t>10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(</w:t>
      </w:r>
      <w:r w:rsidRPr="00C363DA">
        <w:rPr>
          <w:rFonts w:ascii="Times New Roman" w:eastAsia="等线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P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)</w:t>
      </w:r>
      <w:r w:rsidRPr="00C363DA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values and the y-axis shows observed 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-log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  <w:vertAlign w:val="subscript"/>
        </w:rPr>
        <w:t>10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(</w:t>
      </w:r>
      <w:r w:rsidRPr="00C363DA">
        <w:rPr>
          <w:rFonts w:ascii="Times New Roman" w:eastAsia="等线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P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)</w:t>
      </w:r>
      <w:r w:rsidRPr="00C363DA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 values. Deviation from the diagonal line indicates the extent of model miscalibration, with the Q+K model showing optimal performance across all traits.</w:t>
      </w:r>
    </w:p>
    <w:p w14:paraId="39680882" w14:textId="77777777" w:rsidR="00C363DA" w:rsidRPr="00C363DA" w:rsidRDefault="00C363DA">
      <w:pPr>
        <w:spacing w:line="360" w:lineRule="auto"/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</w:pPr>
    </w:p>
    <w:bookmarkEnd w:id="1"/>
    <w:p w14:paraId="1582538C" w14:textId="77777777" w:rsidR="00371E95" w:rsidRDefault="00371E95">
      <w:pPr>
        <w:spacing w:line="360" w:lineRule="auto"/>
        <w:rPr>
          <w:rFonts w:ascii="Times New Roman" w:eastAsia="等线" w:hAnsi="Times New Roman" w:cs="Times New Roman"/>
          <w:b/>
          <w:bCs/>
          <w:sz w:val="32"/>
          <w:szCs w:val="32"/>
          <w:shd w:val="clear" w:color="auto" w:fill="FFFFFF"/>
        </w:rPr>
      </w:pPr>
    </w:p>
    <w:p w14:paraId="43CBCD9E" w14:textId="77777777" w:rsidR="00371E95" w:rsidRDefault="00371E95">
      <w:pPr>
        <w:spacing w:line="360" w:lineRule="auto"/>
        <w:rPr>
          <w:rFonts w:ascii="Times New Roman" w:eastAsia="等线" w:hAnsi="Times New Roman" w:cs="Times New Roman"/>
          <w:sz w:val="32"/>
          <w:szCs w:val="32"/>
          <w:shd w:val="clear" w:color="auto" w:fill="FFFFFF"/>
        </w:rPr>
      </w:pPr>
    </w:p>
    <w:p w14:paraId="0834F0AA" w14:textId="31488E9E" w:rsidR="00371E95" w:rsidRDefault="00B51FB7" w:rsidP="00C363DA">
      <w:pPr>
        <w:spacing w:line="360" w:lineRule="auto"/>
        <w:jc w:val="center"/>
        <w:rPr>
          <w:rFonts w:ascii="Times New Roman" w:eastAsia="等线" w:hAnsi="Times New Roman" w:cs="Times New Roman" w:hint="eastAsia"/>
          <w:b/>
          <w:bCs/>
          <w:sz w:val="32"/>
          <w:szCs w:val="32"/>
          <w:shd w:val="clear" w:color="auto" w:fill="FFFFFF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32"/>
          <w:szCs w:val="32"/>
          <w:shd w:val="clear" w:color="auto" w:fill="FFFFFF"/>
        </w:rPr>
        <w:lastRenderedPageBreak/>
        <w:drawing>
          <wp:inline distT="0" distB="0" distL="114300" distR="114300" wp14:anchorId="4832FA3F" wp14:editId="66B7300E">
            <wp:extent cx="8524875" cy="4801870"/>
            <wp:effectExtent l="0" t="0" r="0" b="8255"/>
            <wp:docPr id="3" name="图片 3" descr="演示文稿1_01(2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演示文稿1_01(2)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24875" cy="480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1518B" w14:textId="77777777" w:rsidR="00371E95" w:rsidRPr="00C363DA" w:rsidRDefault="00B51FB7">
      <w:pPr>
        <w:spacing w:line="360" w:lineRule="auto"/>
        <w:rPr>
          <w:rFonts w:ascii="Times New Roman" w:eastAsia="等线" w:hAnsi="Times New Roman" w:cs="Times New Roman"/>
          <w:bCs/>
          <w:sz w:val="24"/>
          <w:szCs w:val="24"/>
          <w:shd w:val="clear" w:color="auto" w:fill="FFFFFF"/>
        </w:rPr>
      </w:pPr>
      <w:bookmarkStart w:id="2" w:name="_Hlk218589929"/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>Figure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 S3</w:t>
      </w:r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C363DA">
        <w:rPr>
          <w:rFonts w:ascii="Times New Roman" w:eastAsia="等线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C363DA">
        <w:rPr>
          <w:rFonts w:ascii="Times New Roman" w:eastAsia="等线" w:hAnsi="Times New Roman" w:cs="Times New Roman" w:hint="eastAsia"/>
          <w:b/>
          <w:sz w:val="24"/>
          <w:szCs w:val="24"/>
          <w:shd w:val="clear" w:color="auto" w:fill="FFFFFF"/>
        </w:rPr>
        <w:t xml:space="preserve">Quantile-quantile (Q-Q) plots of four yield-related traits under Q+K model </w:t>
      </w:r>
      <w:r w:rsidRPr="00C363DA">
        <w:rPr>
          <w:rFonts w:ascii="Times New Roman" w:eastAsia="等线" w:hAnsi="Times New Roman" w:cs="Times New Roman" w:hint="eastAsia"/>
          <w:b/>
          <w:sz w:val="24"/>
          <w:szCs w:val="24"/>
          <w:shd w:val="clear" w:color="auto" w:fill="FFFFFF"/>
        </w:rPr>
        <w:t>across seven environments and BLUP values.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 xml:space="preserve"> (a-d) Q-Q plots for CW, EW, KW and KR, respectively. Within each subfigure, panel 1 shows the results based on BLUP values and panel 2-8 represent the seven individual environments (11CQ, 11HN, 11HB, 11YN, 12CQ, 1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2HB, 12HN). The x-axis represents the expected -log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  <w:vertAlign w:val="subscript"/>
        </w:rPr>
        <w:t>10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(</w:t>
      </w:r>
      <w:r w:rsidRPr="00C363DA">
        <w:rPr>
          <w:rFonts w:ascii="Times New Roman" w:eastAsia="等线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P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) and the y-axis shows the observed -log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  <w:vertAlign w:val="subscript"/>
        </w:rPr>
        <w:t>10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(</w:t>
      </w:r>
      <w:r w:rsidRPr="00C363DA">
        <w:rPr>
          <w:rFonts w:ascii="Times New Roman" w:eastAsia="等线" w:hAnsi="Times New Roman" w:cs="Times New Roman" w:hint="eastAsia"/>
          <w:bCs/>
          <w:i/>
          <w:iCs/>
          <w:sz w:val="24"/>
          <w:szCs w:val="24"/>
          <w:shd w:val="clear" w:color="auto" w:fill="FFFFFF"/>
        </w:rPr>
        <w:t>P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 xml:space="preserve">). </w:t>
      </w:r>
      <w:r w:rsidRPr="00C363DA">
        <w:rPr>
          <w:rFonts w:ascii="Times New Roman" w:eastAsia="等线" w:hAnsi="Times New Roman" w:cs="Times New Roman"/>
          <w:bCs/>
          <w:sz w:val="24"/>
          <w:szCs w:val="24"/>
          <w:shd w:val="clear" w:color="auto" w:fill="FFFFFF"/>
        </w:rPr>
        <w:t>The diagonal line indicates the expected distribution under the null hypothesis, with points closely following the line demonstrating well-controlled fals</w:t>
      </w:r>
      <w:r w:rsidRPr="00C363DA">
        <w:rPr>
          <w:rFonts w:ascii="Times New Roman" w:eastAsia="等线" w:hAnsi="Times New Roman" w:cs="Times New Roman"/>
          <w:bCs/>
          <w:sz w:val="24"/>
          <w:szCs w:val="24"/>
          <w:shd w:val="clear" w:color="auto" w:fill="FFFFFF"/>
        </w:rPr>
        <w:t>e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Pr="00C363DA">
        <w:rPr>
          <w:rFonts w:ascii="Times New Roman" w:eastAsia="等线" w:hAnsi="Times New Roman" w:cs="Times New Roman" w:hint="eastAsia"/>
          <w:bCs/>
          <w:sz w:val="24"/>
          <w:szCs w:val="24"/>
          <w:shd w:val="clear" w:color="auto" w:fill="FFFFFF"/>
        </w:rPr>
        <w:t>positives.</w:t>
      </w:r>
      <w:r w:rsidRPr="00C363DA">
        <w:rPr>
          <w:rFonts w:ascii="Times New Roman" w:eastAsia="等线" w:hAnsi="Times New Roman" w:cs="Times New Roman"/>
          <w:bCs/>
          <w:sz w:val="24"/>
          <w:szCs w:val="24"/>
          <w:shd w:val="clear" w:color="auto" w:fill="FFFFFF"/>
        </w:rPr>
        <w:t xml:space="preserve"> </w:t>
      </w:r>
      <w:bookmarkEnd w:id="2"/>
    </w:p>
    <w:p w14:paraId="37A22CA5" w14:textId="77777777" w:rsidR="00371E95" w:rsidRDefault="00371E95">
      <w:pPr>
        <w:jc w:val="left"/>
        <w:rPr>
          <w:rFonts w:ascii="Times New Roman" w:eastAsia="等线" w:hAnsi="Times New Roman" w:cs="Times New Roman"/>
          <w:bCs/>
          <w:sz w:val="28"/>
          <w:szCs w:val="28"/>
          <w:shd w:val="clear" w:color="auto" w:fill="FFFFFF"/>
        </w:rPr>
      </w:pPr>
    </w:p>
    <w:p w14:paraId="63978630" w14:textId="77777777" w:rsidR="00371E95" w:rsidRDefault="00371E95">
      <w:pPr>
        <w:jc w:val="left"/>
        <w:rPr>
          <w:rFonts w:ascii="Times New Roman" w:eastAsia="等线" w:hAnsi="Times New Roman" w:cs="Times New Roman"/>
          <w:bCs/>
          <w:sz w:val="28"/>
          <w:szCs w:val="28"/>
          <w:shd w:val="clear" w:color="auto" w:fill="FFFFFF"/>
        </w:rPr>
      </w:pPr>
    </w:p>
    <w:p w14:paraId="4703CDE2" w14:textId="77777777" w:rsidR="00371E95" w:rsidRDefault="00371E95">
      <w:pPr>
        <w:jc w:val="left"/>
        <w:rPr>
          <w:rFonts w:ascii="Times New Roman" w:eastAsia="等线" w:hAnsi="Times New Roman" w:cs="Times New Roman"/>
          <w:bCs/>
          <w:sz w:val="28"/>
          <w:szCs w:val="28"/>
          <w:shd w:val="clear" w:color="auto" w:fill="FFFFFF"/>
        </w:rPr>
      </w:pPr>
    </w:p>
    <w:p w14:paraId="77FE26E6" w14:textId="77777777" w:rsidR="00371E95" w:rsidRDefault="00371E95">
      <w:pPr>
        <w:jc w:val="left"/>
        <w:rPr>
          <w:rFonts w:ascii="Times New Roman" w:eastAsia="等线" w:hAnsi="Times New Roman" w:cs="Times New Roman"/>
          <w:bCs/>
          <w:sz w:val="28"/>
          <w:szCs w:val="28"/>
          <w:shd w:val="clear" w:color="auto" w:fill="FFFFFF"/>
        </w:rPr>
      </w:pPr>
    </w:p>
    <w:p w14:paraId="6C27308D" w14:textId="77777777" w:rsidR="00371E95" w:rsidRDefault="00B51FB7">
      <w:pPr>
        <w:jc w:val="center"/>
        <w:rPr>
          <w:rFonts w:ascii="Times New Roman" w:eastAsia="等线" w:hAnsi="Times New Roman" w:cs="Times New Roman"/>
          <w:bCs/>
          <w:sz w:val="32"/>
          <w:szCs w:val="32"/>
          <w:shd w:val="clear" w:color="auto" w:fill="FFFFFF"/>
        </w:rPr>
      </w:pPr>
      <w:r>
        <w:rPr>
          <w:rFonts w:ascii="Times New Roman" w:eastAsia="等线" w:hAnsi="Times New Roman" w:cs="Times New Roman" w:hint="eastAsia"/>
          <w:bCs/>
          <w:noProof/>
          <w:sz w:val="32"/>
          <w:szCs w:val="32"/>
          <w:shd w:val="clear" w:color="auto" w:fill="FFFFFF"/>
        </w:rPr>
        <w:lastRenderedPageBreak/>
        <w:drawing>
          <wp:inline distT="0" distB="0" distL="114300" distR="114300" wp14:anchorId="1CBB7BE1" wp14:editId="5F8C24B4">
            <wp:extent cx="6871335" cy="9345930"/>
            <wp:effectExtent l="0" t="0" r="5715" b="7620"/>
            <wp:docPr id="2" name="图片 2" descr="未命名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命名1_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71335" cy="934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E79C0" w14:textId="77777777" w:rsidR="00371E95" w:rsidRPr="00C363DA" w:rsidRDefault="00B51FB7" w:rsidP="00C363DA">
      <w:pPr>
        <w:spacing w:line="360" w:lineRule="auto"/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</w:pPr>
      <w:bookmarkStart w:id="3" w:name="_Hlk218589945"/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>Figure S4. Manhattan plots of genome-wide association signals for three yield-related traits under Q+K model across seven environments and BLUP values.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 xml:space="preserve"> The plots display the distribution of association signals for 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>(A)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 xml:space="preserve"> CW, 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>(B)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 xml:space="preserve"> EW, 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>(</w:t>
      </w:r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>)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 xml:space="preserve"> KW across chromosomes 1 to 10. Each subpanel shows results from seven environments (11CQ, 11HN, 11HB, 11YN, 12CQ, 12HB, 12HN) and BLUP. The horizontal dashed line indicates 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 xml:space="preserve">the genome-wide significance threshold of </w:t>
      </w:r>
      <w:r w:rsidRPr="00C363DA">
        <w:rPr>
          <w:rFonts w:ascii="Times New Roman" w:eastAsia="等线" w:hAnsi="Times New Roman" w:cs="Times New Roman" w:hint="eastAsia"/>
          <w:i/>
          <w:iCs/>
          <w:sz w:val="24"/>
          <w:szCs w:val="24"/>
          <w:shd w:val="clear" w:color="auto" w:fill="FFFFFF"/>
        </w:rPr>
        <w:t>P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 xml:space="preserve"> = </w:t>
      </w:r>
      <w:r w:rsidRPr="00C363DA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2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>.0</w:t>
      </w:r>
      <w:r w:rsidRPr="00C363DA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>4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>×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>10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  <w:vertAlign w:val="superscript"/>
        </w:rPr>
        <w:t>-</w:t>
      </w:r>
      <w:r w:rsidRPr="00C363DA">
        <w:rPr>
          <w:rFonts w:ascii="Times New Roman" w:eastAsia="等线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 w:rsidRPr="00C363DA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>). Peaks above the threshold represent significant associations, with different colors distinguishing the environments.</w:t>
      </w:r>
      <w:bookmarkEnd w:id="3"/>
    </w:p>
    <w:p w14:paraId="2D117D36" w14:textId="77777777" w:rsidR="00371E95" w:rsidRDefault="00371E95" w:rsidP="00C363DA">
      <w:pPr>
        <w:spacing w:line="360" w:lineRule="auto"/>
        <w:rPr>
          <w:rFonts w:ascii="Times New Roman" w:eastAsia="等线" w:hAnsi="Times New Roman" w:cs="Times New Roman"/>
          <w:sz w:val="32"/>
          <w:szCs w:val="32"/>
          <w:shd w:val="clear" w:color="auto" w:fill="FFFFFF"/>
        </w:rPr>
      </w:pPr>
    </w:p>
    <w:p w14:paraId="12FD5EE1" w14:textId="77777777" w:rsidR="00371E95" w:rsidRDefault="00B51FB7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32"/>
          <w:szCs w:val="32"/>
          <w:shd w:val="clear" w:color="auto" w:fill="FFFFFF"/>
        </w:rPr>
        <w:lastRenderedPageBreak/>
        <w:drawing>
          <wp:inline distT="0" distB="0" distL="114300" distR="114300" wp14:anchorId="1E68EF8D" wp14:editId="3ABAA5C0">
            <wp:extent cx="6287770" cy="6620510"/>
            <wp:effectExtent l="0" t="0" r="8255" b="8890"/>
            <wp:docPr id="6" name="图片 6" descr="heatmapRoot-save-_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eatmapRoot-save-_2_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7770" cy="662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DA48C" w14:textId="77777777" w:rsidR="00371E95" w:rsidRPr="00C363DA" w:rsidRDefault="00B51FB7" w:rsidP="00C363DA">
      <w:pPr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</w:pPr>
      <w:bookmarkStart w:id="4" w:name="_Hlk218589997"/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Figure S5. </w:t>
      </w:r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>H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eatmap </w:t>
      </w:r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>of c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 xml:space="preserve">andidate gene expression </w:t>
      </w:r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 xml:space="preserve">in kernel </w:t>
      </w:r>
      <w:r w:rsidRPr="00C363DA">
        <w:rPr>
          <w:rFonts w:ascii="Times New Roman" w:eastAsia="等线" w:hAnsi="Times New Roman" w:cs="Times New Roman"/>
          <w:b/>
          <w:bCs/>
          <w:sz w:val="24"/>
          <w:szCs w:val="24"/>
          <w:shd w:val="clear" w:color="auto" w:fill="FFFFFF"/>
        </w:rPr>
        <w:t>development stage</w:t>
      </w:r>
      <w:r w:rsidRPr="00C363DA">
        <w:rPr>
          <w:rFonts w:ascii="Times New Roman" w:eastAsia="等线" w:hAnsi="Times New Roman" w:cs="Times New Roman" w:hint="eastAsia"/>
          <w:b/>
          <w:bCs/>
          <w:sz w:val="24"/>
          <w:szCs w:val="24"/>
          <w:shd w:val="clear" w:color="auto" w:fill="FFFFFF"/>
        </w:rPr>
        <w:t>.</w:t>
      </w:r>
    </w:p>
    <w:bookmarkEnd w:id="4"/>
    <w:p w14:paraId="7B0E5B48" w14:textId="77777777" w:rsidR="00371E95" w:rsidRDefault="00371E95">
      <w:pPr>
        <w:spacing w:line="360" w:lineRule="auto"/>
        <w:rPr>
          <w:rFonts w:ascii="Times New Roman" w:eastAsia="等线" w:hAnsi="Times New Roman" w:cs="Times New Roman"/>
          <w:sz w:val="32"/>
          <w:szCs w:val="32"/>
          <w:shd w:val="clear" w:color="auto" w:fill="FFFFFF"/>
        </w:rPr>
      </w:pPr>
    </w:p>
    <w:p w14:paraId="70D0E3D9" w14:textId="77777777" w:rsidR="00371E95" w:rsidRDefault="00371E95">
      <w:pPr>
        <w:spacing w:line="360" w:lineRule="auto"/>
        <w:rPr>
          <w:rFonts w:ascii="Times New Roman" w:eastAsia="等线" w:hAnsi="Times New Roman" w:cs="Times New Roman"/>
          <w:bCs/>
          <w:sz w:val="32"/>
          <w:szCs w:val="32"/>
          <w:shd w:val="clear" w:color="auto" w:fill="FFFFFF"/>
        </w:rPr>
      </w:pPr>
    </w:p>
    <w:p w14:paraId="18C1DE11" w14:textId="77777777" w:rsidR="00371E95" w:rsidRDefault="00371E95">
      <w:pPr>
        <w:spacing w:line="360" w:lineRule="auto"/>
        <w:rPr>
          <w:rFonts w:ascii="Times New Roman" w:eastAsia="等线" w:hAnsi="Times New Roman" w:cs="Times New Roman"/>
          <w:b/>
          <w:bCs/>
          <w:sz w:val="32"/>
          <w:szCs w:val="32"/>
          <w:shd w:val="clear" w:color="auto" w:fill="FFFFFF"/>
        </w:rPr>
      </w:pPr>
    </w:p>
    <w:p w14:paraId="6070EABF" w14:textId="77777777" w:rsidR="00371E95" w:rsidRDefault="00371E95">
      <w:pPr>
        <w:rPr>
          <w:rFonts w:ascii="Times New Roman" w:hAnsi="Times New Roman" w:cs="Times New Roman"/>
          <w:b/>
          <w:bCs/>
          <w:szCs w:val="21"/>
          <w:shd w:val="clear" w:color="auto" w:fill="FFFFFF"/>
        </w:rPr>
      </w:pPr>
    </w:p>
    <w:sectPr w:rsidR="00371E95">
      <w:pgSz w:w="16840" w:h="22680"/>
      <w:pgMar w:top="720" w:right="1701" w:bottom="720" w:left="170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C43B" w14:textId="77777777" w:rsidR="00B51FB7" w:rsidRDefault="00B51FB7" w:rsidP="00C363DA">
      <w:r>
        <w:separator/>
      </w:r>
    </w:p>
  </w:endnote>
  <w:endnote w:type="continuationSeparator" w:id="0">
    <w:p w14:paraId="2101BB3F" w14:textId="77777777" w:rsidR="00B51FB7" w:rsidRDefault="00B51FB7" w:rsidP="00C3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6B0B1" w14:textId="77777777" w:rsidR="00B51FB7" w:rsidRDefault="00B51FB7" w:rsidP="00C363DA">
      <w:r>
        <w:separator/>
      </w:r>
    </w:p>
  </w:footnote>
  <w:footnote w:type="continuationSeparator" w:id="0">
    <w:p w14:paraId="2DE9313B" w14:textId="77777777" w:rsidR="00B51FB7" w:rsidRDefault="00B51FB7" w:rsidP="00C36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D26E80"/>
    <w:rsid w:val="0001107E"/>
    <w:rsid w:val="00026246"/>
    <w:rsid w:val="00060CC5"/>
    <w:rsid w:val="000A7A08"/>
    <w:rsid w:val="000C55CE"/>
    <w:rsid w:val="000D6AC8"/>
    <w:rsid w:val="000E7A8D"/>
    <w:rsid w:val="000F5638"/>
    <w:rsid w:val="00122B04"/>
    <w:rsid w:val="00126378"/>
    <w:rsid w:val="0013284A"/>
    <w:rsid w:val="0017669A"/>
    <w:rsid w:val="00177CC1"/>
    <w:rsid w:val="00187978"/>
    <w:rsid w:val="00201B2A"/>
    <w:rsid w:val="002076DD"/>
    <w:rsid w:val="00207EBD"/>
    <w:rsid w:val="002516BC"/>
    <w:rsid w:val="0029008C"/>
    <w:rsid w:val="0029593D"/>
    <w:rsid w:val="00297538"/>
    <w:rsid w:val="002D091D"/>
    <w:rsid w:val="002E68D9"/>
    <w:rsid w:val="0035412F"/>
    <w:rsid w:val="003562F7"/>
    <w:rsid w:val="00371E95"/>
    <w:rsid w:val="003805B3"/>
    <w:rsid w:val="003C2990"/>
    <w:rsid w:val="003E3A51"/>
    <w:rsid w:val="00445D5A"/>
    <w:rsid w:val="00447E8A"/>
    <w:rsid w:val="00462F15"/>
    <w:rsid w:val="004833EA"/>
    <w:rsid w:val="004A5146"/>
    <w:rsid w:val="004B68E2"/>
    <w:rsid w:val="004B75FF"/>
    <w:rsid w:val="004D12A6"/>
    <w:rsid w:val="004E39E9"/>
    <w:rsid w:val="00513ADE"/>
    <w:rsid w:val="005259C8"/>
    <w:rsid w:val="00627265"/>
    <w:rsid w:val="0065247B"/>
    <w:rsid w:val="006C79E7"/>
    <w:rsid w:val="007118D5"/>
    <w:rsid w:val="00734DA6"/>
    <w:rsid w:val="00770E38"/>
    <w:rsid w:val="0079508C"/>
    <w:rsid w:val="007A01F7"/>
    <w:rsid w:val="007D2F23"/>
    <w:rsid w:val="007D6697"/>
    <w:rsid w:val="00824222"/>
    <w:rsid w:val="00840205"/>
    <w:rsid w:val="008A6536"/>
    <w:rsid w:val="008F21B6"/>
    <w:rsid w:val="00981773"/>
    <w:rsid w:val="009B6073"/>
    <w:rsid w:val="009C1E7A"/>
    <w:rsid w:val="00A12875"/>
    <w:rsid w:val="00A62732"/>
    <w:rsid w:val="00A83CFD"/>
    <w:rsid w:val="00AA3FE5"/>
    <w:rsid w:val="00AB4EA4"/>
    <w:rsid w:val="00AC246B"/>
    <w:rsid w:val="00AE5577"/>
    <w:rsid w:val="00AF11E5"/>
    <w:rsid w:val="00B0166A"/>
    <w:rsid w:val="00B51FB7"/>
    <w:rsid w:val="00BF5E82"/>
    <w:rsid w:val="00C10C14"/>
    <w:rsid w:val="00C363DA"/>
    <w:rsid w:val="00C7452F"/>
    <w:rsid w:val="00CB1345"/>
    <w:rsid w:val="00CD2F6B"/>
    <w:rsid w:val="00CF3C6D"/>
    <w:rsid w:val="00D03492"/>
    <w:rsid w:val="00D21DEE"/>
    <w:rsid w:val="00D26E80"/>
    <w:rsid w:val="00D449E0"/>
    <w:rsid w:val="00DA2182"/>
    <w:rsid w:val="00DA665B"/>
    <w:rsid w:val="00DD5030"/>
    <w:rsid w:val="00DF6AC0"/>
    <w:rsid w:val="00E37F8E"/>
    <w:rsid w:val="00E41A30"/>
    <w:rsid w:val="00E572C0"/>
    <w:rsid w:val="00E65C11"/>
    <w:rsid w:val="00E704A8"/>
    <w:rsid w:val="00E837DD"/>
    <w:rsid w:val="00EB77B7"/>
    <w:rsid w:val="00EC2460"/>
    <w:rsid w:val="00F4323D"/>
    <w:rsid w:val="00F82FC8"/>
    <w:rsid w:val="00FD154F"/>
    <w:rsid w:val="00FE3767"/>
    <w:rsid w:val="00FF43E1"/>
    <w:rsid w:val="00FF4F14"/>
    <w:rsid w:val="038B6421"/>
    <w:rsid w:val="05AA2098"/>
    <w:rsid w:val="06563FCE"/>
    <w:rsid w:val="08204893"/>
    <w:rsid w:val="0D392B93"/>
    <w:rsid w:val="0F3D3F7D"/>
    <w:rsid w:val="13743CE5"/>
    <w:rsid w:val="138C102F"/>
    <w:rsid w:val="13A04ADA"/>
    <w:rsid w:val="14537D9F"/>
    <w:rsid w:val="1B636B19"/>
    <w:rsid w:val="1E285DF8"/>
    <w:rsid w:val="205F528C"/>
    <w:rsid w:val="20C0056A"/>
    <w:rsid w:val="24B85758"/>
    <w:rsid w:val="2B254B5D"/>
    <w:rsid w:val="2BB807BB"/>
    <w:rsid w:val="2F880BE3"/>
    <w:rsid w:val="3440558F"/>
    <w:rsid w:val="37A70001"/>
    <w:rsid w:val="38DC0A50"/>
    <w:rsid w:val="3C3F21D1"/>
    <w:rsid w:val="3F255D10"/>
    <w:rsid w:val="42383FAC"/>
    <w:rsid w:val="47745A86"/>
    <w:rsid w:val="4DE938B9"/>
    <w:rsid w:val="4E4B05CF"/>
    <w:rsid w:val="50DD1DB3"/>
    <w:rsid w:val="50F757C9"/>
    <w:rsid w:val="51384450"/>
    <w:rsid w:val="58C5213C"/>
    <w:rsid w:val="5B3C7342"/>
    <w:rsid w:val="5CEB1EEF"/>
    <w:rsid w:val="5FC1162D"/>
    <w:rsid w:val="610024AD"/>
    <w:rsid w:val="61064638"/>
    <w:rsid w:val="67507C17"/>
    <w:rsid w:val="678A0557"/>
    <w:rsid w:val="6A321A16"/>
    <w:rsid w:val="6BC24763"/>
    <w:rsid w:val="72C963D7"/>
    <w:rsid w:val="797679D1"/>
    <w:rsid w:val="7BFC15CB"/>
    <w:rsid w:val="7DB518B8"/>
    <w:rsid w:val="7F7C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166F9"/>
  <w15:docId w15:val="{74E6C592-D29C-4782-B114-20CCC0E9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spacing w:line="480" w:lineRule="auto"/>
      <w:jc w:val="left"/>
    </w:pPr>
    <w:rPr>
      <w:rFonts w:ascii="Times New Roman" w:eastAsia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pPr>
      <w:spacing w:line="240" w:lineRule="auto"/>
    </w:pPr>
    <w:rPr>
      <w:rFonts w:asciiTheme="minorHAnsi" w:eastAsiaTheme="minorEastAsia" w:hAnsiTheme="minorHAnsi" w:cstheme="minorBidi"/>
      <w:b/>
      <w:bCs/>
      <w:sz w:val="21"/>
    </w:rPr>
  </w:style>
  <w:style w:type="table" w:styleId="ad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paragraph" w:customStyle="1" w:styleId="111">
    <w:name w:val="正文111"/>
    <w:basedOn w:val="a"/>
    <w:qFormat/>
    <w:pPr>
      <w:widowControl/>
      <w:spacing w:line="360" w:lineRule="auto"/>
      <w:ind w:firstLineChars="200" w:firstLine="480"/>
    </w:pPr>
    <w:rPr>
      <w:rFonts w:ascii="Cambria Math" w:eastAsia="Times New Roman" w:hAnsi="Cambria Math" w:cs="Times New Roman"/>
      <w:kern w:val="44"/>
      <w:sz w:val="24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35F70-5441-4684-B88D-70617003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86188</dc:creator>
  <cp:lastModifiedBy>86188</cp:lastModifiedBy>
  <cp:revision>59</cp:revision>
  <dcterms:created xsi:type="dcterms:W3CDTF">2023-11-16T09:33:00Z</dcterms:created>
  <dcterms:modified xsi:type="dcterms:W3CDTF">2026-03-05T07:10:00Z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D0F33301CD444CD1A3C0128F9B2782E1_13</vt:lpwstr>
  </property>
  <property fmtid="{D5CDD505-2E9C-101B-9397-08002B2CF9AE}" pid="4" name="KSOTemplateDocerSaveRecord">
    <vt:lpwstr>eyJoZGlkIjoiYzc5ODlmYzBmNmVjZTY4M2MwNzAyMjg5YTQ1MWZhZjAiLCJ1c2VySWQiOiI0Mzg4Mjc3NDQifQ==</vt:lpwstr>
  </property>
</Properties>
</file>