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51E" w:rsidRPr="00CE1486" w:rsidRDefault="002A251E" w:rsidP="002A251E">
      <w:pPr>
        <w:widowControl/>
        <w:spacing w:line="480" w:lineRule="auto"/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</w:pPr>
    </w:p>
    <w:p w:rsidR="002A251E" w:rsidRDefault="002A251E" w:rsidP="002A251E">
      <w:pPr>
        <w:widowControl/>
        <w:spacing w:line="480" w:lineRule="auto"/>
        <w:rPr>
          <w:rFonts w:ascii="Times New Roman" w:hAnsi="Times New Roman" w:cs="Times New Roman"/>
          <w:sz w:val="24"/>
          <w:lang w:bidi="ar"/>
        </w:rPr>
      </w:pPr>
      <w:r>
        <w:rPr>
          <w:rFonts w:ascii="Times New Roman" w:hAnsi="Times New Roman" w:cs="Times New Roman"/>
          <w:noProof/>
          <w:sz w:val="24"/>
          <w:lang w:eastAsia="en-US"/>
        </w:rPr>
        <w:drawing>
          <wp:inline distT="0" distB="0" distL="0" distR="0" wp14:anchorId="20320243" wp14:editId="398D853A">
            <wp:extent cx="5274310" cy="2724150"/>
            <wp:effectExtent l="0" t="0" r="2540" b="0"/>
            <wp:docPr id="189150308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503086" name="图片 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251E" w:rsidRDefault="002A251E" w:rsidP="002A251E">
      <w:pPr>
        <w:widowControl/>
        <w:spacing w:line="480" w:lineRule="auto"/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lang w:bidi="ar"/>
        </w:rPr>
        <w:t xml:space="preserve">Fig. 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lang w:bidi="ar"/>
        </w:rPr>
        <w:t xml:space="preserve">S1 </w:t>
      </w:r>
      <w:r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>Prediction of transmembrane helices in BcHMGR family members</w:t>
      </w:r>
      <w:r>
        <w:rPr>
          <w:rFonts w:ascii="Times New Roman" w:eastAsia="SimSun" w:hAnsi="Times New Roman" w:cs="Times New Roman" w:hint="eastAsia"/>
          <w:color w:val="000000"/>
          <w:kern w:val="0"/>
          <w:sz w:val="24"/>
          <w:lang w:bidi="ar"/>
        </w:rPr>
        <w:t>. T</w:t>
      </w:r>
      <w:r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>he purple regions represent transmembrane helices, the blue lines indicate the intramembrane areas, and the yellow lines denote the extramembrane regions.</w:t>
      </w:r>
    </w:p>
    <w:p w:rsidR="002A251E" w:rsidRDefault="002A251E" w:rsidP="002A251E">
      <w:pPr>
        <w:widowControl/>
        <w:spacing w:line="480" w:lineRule="auto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lang w:bidi="ar"/>
        </w:rPr>
      </w:pPr>
    </w:p>
    <w:p w:rsidR="002A251E" w:rsidRDefault="002A251E" w:rsidP="002A251E">
      <w:pPr>
        <w:widowControl/>
        <w:spacing w:line="480" w:lineRule="auto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lang w:bidi="ar"/>
        </w:rPr>
      </w:pPr>
    </w:p>
    <w:p w:rsidR="002A251E" w:rsidRDefault="002A251E" w:rsidP="002A251E">
      <w:pPr>
        <w:widowControl/>
        <w:spacing w:line="480" w:lineRule="auto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lang w:bidi="ar"/>
        </w:rPr>
      </w:pPr>
    </w:p>
    <w:p w:rsidR="002A251E" w:rsidRDefault="002A251E" w:rsidP="002A251E">
      <w:pPr>
        <w:widowControl/>
        <w:spacing w:line="480" w:lineRule="auto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lang w:bidi="ar"/>
        </w:rPr>
      </w:pPr>
    </w:p>
    <w:p w:rsidR="002A251E" w:rsidRDefault="002A251E" w:rsidP="002A251E">
      <w:pPr>
        <w:widowControl/>
        <w:spacing w:line="480" w:lineRule="auto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lang w:bidi="ar"/>
        </w:rPr>
      </w:pPr>
    </w:p>
    <w:p w:rsidR="002A251E" w:rsidRDefault="002A251E" w:rsidP="002A251E">
      <w:pPr>
        <w:widowControl/>
        <w:spacing w:line="480" w:lineRule="auto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lang w:bidi="ar"/>
        </w:rPr>
      </w:pPr>
    </w:p>
    <w:p w:rsidR="002A251E" w:rsidRDefault="002A251E" w:rsidP="002A251E">
      <w:pPr>
        <w:widowControl/>
        <w:spacing w:line="480" w:lineRule="auto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lang w:bidi="ar"/>
        </w:rPr>
      </w:pPr>
    </w:p>
    <w:p w:rsidR="002A251E" w:rsidRDefault="002A251E" w:rsidP="002A251E">
      <w:pPr>
        <w:widowControl/>
        <w:spacing w:line="480" w:lineRule="auto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lang w:bidi="ar"/>
        </w:rPr>
      </w:pPr>
    </w:p>
    <w:p w:rsidR="002A251E" w:rsidRDefault="002A251E" w:rsidP="002A251E">
      <w:pPr>
        <w:widowControl/>
        <w:spacing w:line="480" w:lineRule="auto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lang w:bidi="ar"/>
        </w:rPr>
      </w:pPr>
    </w:p>
    <w:p w:rsidR="002A251E" w:rsidRDefault="002A251E" w:rsidP="002A251E">
      <w:pPr>
        <w:widowControl/>
        <w:spacing w:line="480" w:lineRule="auto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lang w:bidi="ar"/>
        </w:rPr>
      </w:pPr>
    </w:p>
    <w:p w:rsidR="002A251E" w:rsidRDefault="002A251E" w:rsidP="002A251E">
      <w:pPr>
        <w:widowControl/>
        <w:spacing w:line="480" w:lineRule="auto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lang w:bidi="ar"/>
        </w:rPr>
      </w:pPr>
    </w:p>
    <w:p w:rsidR="002A251E" w:rsidRDefault="002A251E" w:rsidP="002A251E">
      <w:pPr>
        <w:widowControl/>
        <w:spacing w:line="480" w:lineRule="auto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lang w:bidi="ar"/>
        </w:rPr>
      </w:pPr>
    </w:p>
    <w:p w:rsidR="002A251E" w:rsidRDefault="002A251E" w:rsidP="002A251E">
      <w:pPr>
        <w:widowControl/>
        <w:spacing w:line="480" w:lineRule="auto"/>
        <w:jc w:val="center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lang w:bidi="ar"/>
        </w:rPr>
      </w:pPr>
      <w:r>
        <w:rPr>
          <w:rFonts w:ascii="Times New Roman" w:eastAsia="SimSun" w:hAnsi="Times New Roman" w:cs="Times New Roman"/>
          <w:b/>
          <w:bCs/>
          <w:noProof/>
          <w:color w:val="000000"/>
          <w:kern w:val="0"/>
          <w:sz w:val="24"/>
          <w:lang w:eastAsia="en-US"/>
        </w:rPr>
        <w:drawing>
          <wp:inline distT="0" distB="0" distL="0" distR="0" wp14:anchorId="053CE774" wp14:editId="0C87F767">
            <wp:extent cx="2837180" cy="5866130"/>
            <wp:effectExtent l="0" t="0" r="1270" b="1270"/>
            <wp:docPr id="148419094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190945" name="图片 9"/>
                    <pic:cNvPicPr>
                      <a:picLocks noChangeAspect="1"/>
                    </pic:cNvPicPr>
                  </pic:nvPicPr>
                  <pic:blipFill>
                    <a:blip r:embed="rId5"/>
                    <a:srcRect l="19569" t="7527" r="20434" b="4726"/>
                    <a:stretch>
                      <a:fillRect/>
                    </a:stretch>
                  </pic:blipFill>
                  <pic:spPr>
                    <a:xfrm>
                      <a:off x="0" y="0"/>
                      <a:ext cx="2840054" cy="587221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A8C" w:rsidRPr="002A251E" w:rsidRDefault="002A251E" w:rsidP="002A251E">
      <w:pPr>
        <w:widowControl/>
        <w:spacing w:line="480" w:lineRule="auto"/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lang w:bidi="ar"/>
        </w:rPr>
        <w:t>Fig.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lang w:bidi="ar"/>
        </w:rPr>
        <w:t xml:space="preserve"> S2 </w:t>
      </w:r>
      <w:r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 xml:space="preserve">Multiple sequence alignment of the BcHMGR proteins. The secondary structural elements predicted with </w:t>
      </w:r>
      <w:r>
        <w:rPr>
          <w:rFonts w:ascii="Times New Roman" w:eastAsia="SimSun" w:hAnsi="Times New Roman" w:cs="Times New Roman"/>
          <w:i/>
          <w:iCs/>
          <w:color w:val="000000"/>
          <w:kern w:val="0"/>
          <w:sz w:val="24"/>
          <w:lang w:bidi="ar"/>
        </w:rPr>
        <w:t>BcHMGR1</w:t>
      </w:r>
      <w:r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 xml:space="preserve"> are shown above. Red box</w:t>
      </w:r>
      <w:r>
        <w:rPr>
          <w:rFonts w:ascii="Times New Roman" w:eastAsia="SimSun" w:hAnsi="Times New Roman" w:cs="Times New Roman" w:hint="eastAsia"/>
          <w:color w:val="000000"/>
          <w:kern w:val="0"/>
          <w:sz w:val="24"/>
          <w:lang w:bidi="ar"/>
        </w:rPr>
        <w:t xml:space="preserve">es </w:t>
      </w:r>
      <w:r w:rsidRPr="00DB5AE6"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>with</w:t>
      </w:r>
      <w:r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 xml:space="preserve"> white character</w:t>
      </w:r>
      <w:r>
        <w:rPr>
          <w:rFonts w:ascii="Times New Roman" w:eastAsia="SimSun" w:hAnsi="Times New Roman" w:cs="Times New Roman" w:hint="eastAsia"/>
          <w:color w:val="000000"/>
          <w:kern w:val="0"/>
          <w:sz w:val="24"/>
          <w:lang w:bidi="ar"/>
        </w:rPr>
        <w:t>s</w:t>
      </w:r>
      <w:r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 xml:space="preserve"> </w:t>
      </w:r>
      <w:r w:rsidRPr="00DB5AE6"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>indicate</w:t>
      </w:r>
      <w:r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 xml:space="preserve"> strict identity; red character</w:t>
      </w:r>
      <w:r>
        <w:rPr>
          <w:rFonts w:ascii="Times New Roman" w:eastAsia="SimSun" w:hAnsi="Times New Roman" w:cs="Times New Roman" w:hint="eastAsia"/>
          <w:color w:val="000000"/>
          <w:kern w:val="0"/>
          <w:sz w:val="24"/>
          <w:lang w:bidi="ar"/>
        </w:rPr>
        <w:t>s</w:t>
      </w:r>
      <w:r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 xml:space="preserve"> represent similarity in a group; blue frame</w:t>
      </w:r>
      <w:r>
        <w:rPr>
          <w:rFonts w:ascii="Times New Roman" w:eastAsia="SimSun" w:hAnsi="Times New Roman" w:cs="Times New Roman" w:hint="eastAsia"/>
          <w:color w:val="000000"/>
          <w:kern w:val="0"/>
          <w:sz w:val="24"/>
          <w:lang w:bidi="ar"/>
        </w:rPr>
        <w:t>s</w:t>
      </w:r>
      <w:r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 xml:space="preserve"> represent similarity across groups.</w:t>
      </w:r>
      <w:r>
        <w:rPr>
          <w:rFonts w:ascii="Times New Roman" w:eastAsia="SimSun" w:hAnsi="Times New Roman" w:cs="Times New Roman" w:hint="eastAsia"/>
          <w:color w:val="000000"/>
          <w:kern w:val="0"/>
          <w:sz w:val="24"/>
          <w:lang w:bidi="ar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>The η symbol denotes 3</w:t>
      </w:r>
      <w:r w:rsidRPr="00484E78">
        <w:rPr>
          <w:rFonts w:ascii="Times New Roman" w:eastAsia="SimSun" w:hAnsi="Times New Roman" w:cs="Times New Roman"/>
          <w:color w:val="000000"/>
          <w:kern w:val="0"/>
          <w:sz w:val="24"/>
          <w:vertAlign w:val="subscript"/>
          <w:lang w:bidi="ar"/>
        </w:rPr>
        <w:t>10</w:t>
      </w:r>
      <w:r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>-helices; α-helices and 3</w:t>
      </w:r>
      <w:r w:rsidRPr="00484E78">
        <w:rPr>
          <w:rFonts w:ascii="Times New Roman" w:eastAsia="SimSun" w:hAnsi="Times New Roman" w:cs="Times New Roman"/>
          <w:color w:val="000000"/>
          <w:kern w:val="0"/>
          <w:sz w:val="24"/>
          <w:vertAlign w:val="subscript"/>
          <w:lang w:bidi="ar"/>
        </w:rPr>
        <w:t>10</w:t>
      </w:r>
      <w:r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 xml:space="preserve">-helices are represented by squiggles; β-strands are depicted as arrows. The </w:t>
      </w:r>
      <w:r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lastRenderedPageBreak/>
        <w:t>black and green boxes represent two HMG-CoA binding sites and two NADP(H) binding sites, respectively.</w:t>
      </w:r>
      <w:bookmarkStart w:id="0" w:name="_GoBack"/>
      <w:bookmarkEnd w:id="0"/>
    </w:p>
    <w:sectPr w:rsidR="00AD4A8C" w:rsidRPr="002A251E" w:rsidSect="00A968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51E"/>
    <w:rsid w:val="001417FA"/>
    <w:rsid w:val="002A251E"/>
    <w:rsid w:val="009C4175"/>
    <w:rsid w:val="00B4204F"/>
    <w:rsid w:val="00DC1559"/>
    <w:rsid w:val="00DC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025BF"/>
  <w15:chartTrackingRefBased/>
  <w15:docId w15:val="{9801D680-53AF-4DEF-B327-C6381C1EB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51E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Leo Pacunla</dc:creator>
  <cp:keywords/>
  <dc:description/>
  <cp:lastModifiedBy>Ben Leo Pacunla</cp:lastModifiedBy>
  <cp:revision>2</cp:revision>
  <dcterms:created xsi:type="dcterms:W3CDTF">2026-06-08T13:46:00Z</dcterms:created>
  <dcterms:modified xsi:type="dcterms:W3CDTF">2026-06-08T13:46:00Z</dcterms:modified>
</cp:coreProperties>
</file>