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48D" w:rsidRPr="000900A1" w:rsidRDefault="00C3348D" w:rsidP="00C3348D">
      <w:pPr>
        <w:spacing w:line="360" w:lineRule="auto"/>
        <w:rPr>
          <w:rFonts w:ascii="Times New Roman" w:eastAsia="DengXian" w:hAnsi="Times New Roman" w:cs="Times New Roman"/>
          <w:b/>
          <w:bCs/>
          <w:noProof/>
          <w:color w:val="000000" w:themeColor="text1"/>
          <w:szCs w:val="21"/>
        </w:rPr>
      </w:pPr>
      <w:r w:rsidRPr="000900A1">
        <w:rPr>
          <w:rFonts w:ascii="Times New Roman" w:eastAsia="DengXian" w:hAnsi="Times New Roman" w:cs="Times New Roman"/>
          <w:b/>
          <w:bCs/>
          <w:noProof/>
          <w:color w:val="000000" w:themeColor="text1"/>
          <w:szCs w:val="21"/>
        </w:rPr>
        <w:t xml:space="preserve">Supplementary Table: </w:t>
      </w:r>
    </w:p>
    <w:p w:rsidR="00C3348D" w:rsidRPr="000900A1" w:rsidRDefault="00C3348D" w:rsidP="00C3348D">
      <w:pPr>
        <w:pStyle w:val="EndNoteBibliography"/>
        <w:spacing w:line="360" w:lineRule="auto"/>
        <w:jc w:val="center"/>
        <w:rPr>
          <w:b/>
          <w:bCs/>
          <w:color w:val="000000" w:themeColor="text1"/>
          <w:sz w:val="21"/>
          <w:szCs w:val="21"/>
        </w:rPr>
      </w:pPr>
      <w:r w:rsidRPr="000900A1">
        <w:rPr>
          <w:b/>
          <w:bCs/>
          <w:color w:val="000000" w:themeColor="text1"/>
          <w:szCs w:val="21"/>
        </w:rPr>
        <w:t>Table.S1</w:t>
      </w:r>
      <w:r w:rsidRPr="000900A1">
        <w:rPr>
          <w:b/>
          <w:bCs/>
          <w:color w:val="000000" w:themeColor="text1"/>
          <w:sz w:val="21"/>
          <w:szCs w:val="21"/>
        </w:rPr>
        <w:t xml:space="preserve"> List of List of abbreviations and full names of endogenous hormones used in this study.</w:t>
      </w:r>
    </w:p>
    <w:tbl>
      <w:tblPr>
        <w:tblStyle w:val="TableGrid"/>
        <w:tblW w:w="3184"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3883"/>
      </w:tblGrid>
      <w:tr w:rsidR="00C3348D" w:rsidRPr="000900A1" w:rsidTr="00090342">
        <w:trPr>
          <w:jc w:val="center"/>
        </w:trPr>
        <w:tc>
          <w:tcPr>
            <w:tcW w:w="962" w:type="pct"/>
            <w:tcBorders>
              <w:top w:val="single" w:sz="12" w:space="0" w:color="auto"/>
              <w:bottom w:val="single" w:sz="8" w:space="0" w:color="auto"/>
            </w:tcBorders>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Abbreviations</w:t>
            </w:r>
          </w:p>
        </w:tc>
        <w:tc>
          <w:tcPr>
            <w:tcW w:w="4038" w:type="pct"/>
            <w:tcBorders>
              <w:top w:val="single" w:sz="12" w:space="0" w:color="auto"/>
              <w:bottom w:val="single" w:sz="8" w:space="0" w:color="auto"/>
            </w:tcBorders>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Full English names</w:t>
            </w:r>
          </w:p>
        </w:tc>
      </w:tr>
      <w:tr w:rsidR="00C3348D" w:rsidRPr="000900A1" w:rsidTr="00090342">
        <w:trPr>
          <w:jc w:val="center"/>
        </w:trPr>
        <w:tc>
          <w:tcPr>
            <w:tcW w:w="962" w:type="pct"/>
            <w:tcBorders>
              <w:top w:val="single" w:sz="8" w:space="0" w:color="auto"/>
            </w:tcBorders>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6-BA</w:t>
            </w:r>
          </w:p>
        </w:tc>
        <w:tc>
          <w:tcPr>
            <w:tcW w:w="4038" w:type="pct"/>
            <w:tcBorders>
              <w:top w:val="single" w:sz="8" w:space="0" w:color="auto"/>
            </w:tcBorders>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6-Benzylaminopurine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IPA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isopentenyladenine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IP</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Nucleoside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TZR</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trans-zeatin nucleoside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TZ</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trans-zeatin</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DZ</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dihydrozeatin</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IAA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indoleacetic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ICAID</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indole-3-carbaldehyde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ICA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3-indolecarboxylic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bookmarkStart w:id="0" w:name="_Hlk232100082"/>
            <w:r w:rsidRPr="000900A1">
              <w:rPr>
                <w:rFonts w:ascii="Times New Roman" w:hAnsi="Times New Roman" w:cs="Times New Roman"/>
                <w:color w:val="000000" w:themeColor="text1"/>
                <w:kern w:val="0"/>
                <w:szCs w:val="21"/>
              </w:rPr>
              <w:t>GA</w:t>
            </w:r>
            <w:r w:rsidRPr="000900A1">
              <w:rPr>
                <w:rFonts w:ascii="Times New Roman" w:hAnsi="Times New Roman" w:cs="Times New Roman"/>
                <w:color w:val="000000" w:themeColor="text1"/>
                <w:kern w:val="0"/>
                <w:szCs w:val="21"/>
                <w:vertAlign w:val="subscript"/>
              </w:rPr>
              <w:t>3</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gibberellin</w:t>
            </w:r>
          </w:p>
        </w:tc>
      </w:tr>
      <w:bookmarkEnd w:id="0"/>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GA</w:t>
            </w:r>
            <w:r w:rsidRPr="000900A1">
              <w:rPr>
                <w:rFonts w:ascii="Times New Roman" w:hAnsi="Times New Roman" w:cs="Times New Roman"/>
                <w:color w:val="000000" w:themeColor="text1"/>
                <w:kern w:val="0"/>
                <w:szCs w:val="21"/>
                <w:vertAlign w:val="subscript"/>
              </w:rPr>
              <w:t>1</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gibberellin 1</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GA</w:t>
            </w:r>
            <w:r w:rsidRPr="000900A1">
              <w:rPr>
                <w:rFonts w:ascii="Times New Roman" w:hAnsi="Times New Roman" w:cs="Times New Roman"/>
                <w:color w:val="000000" w:themeColor="text1"/>
                <w:kern w:val="0"/>
                <w:szCs w:val="21"/>
                <w:vertAlign w:val="subscript"/>
              </w:rPr>
              <w:t>7</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gibberellin 7</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GA</w:t>
            </w:r>
            <w:r w:rsidRPr="000900A1">
              <w:rPr>
                <w:rFonts w:ascii="Times New Roman" w:hAnsi="Times New Roman" w:cs="Times New Roman"/>
                <w:color w:val="000000" w:themeColor="text1"/>
                <w:kern w:val="0"/>
                <w:szCs w:val="21"/>
                <w:vertAlign w:val="subscript"/>
              </w:rPr>
              <w:t>8</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gibberellin 8</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JA-ILE</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N-jasmonic acid-isoleucine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JA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jasmonic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DHJA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dihydrojasmonic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MEJA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methyl jasmonate</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SAG</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glycosylated salicylic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SA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salicylic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ABA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abscisic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ACC</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1-aminocyclopropane-1-carboxylic acid</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MT</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melatonin</w:t>
            </w:r>
          </w:p>
        </w:tc>
      </w:tr>
      <w:tr w:rsidR="00C3348D" w:rsidRPr="000900A1" w:rsidTr="00090342">
        <w:trPr>
          <w:jc w:val="center"/>
        </w:trPr>
        <w:tc>
          <w:tcPr>
            <w:tcW w:w="962"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OPDA</w:t>
            </w:r>
          </w:p>
        </w:tc>
        <w:tc>
          <w:tcPr>
            <w:tcW w:w="4038" w:type="pct"/>
            <w:vAlign w:val="center"/>
          </w:tcPr>
          <w:p w:rsidR="00C3348D" w:rsidRPr="000900A1" w:rsidRDefault="00C3348D" w:rsidP="00090342">
            <w:pPr>
              <w:rPr>
                <w:rFonts w:ascii="Times New Roman" w:hAnsi="Times New Roman" w:cs="Times New Roman"/>
                <w:color w:val="000000" w:themeColor="text1"/>
                <w:kern w:val="0"/>
                <w:szCs w:val="21"/>
              </w:rPr>
            </w:pPr>
            <w:r w:rsidRPr="000900A1">
              <w:rPr>
                <w:rFonts w:ascii="Times New Roman" w:hAnsi="Times New Roman" w:cs="Times New Roman"/>
                <w:color w:val="000000" w:themeColor="text1"/>
                <w:kern w:val="0"/>
                <w:szCs w:val="21"/>
              </w:rPr>
              <w:t>12-oxo phytodienoic acid</w:t>
            </w:r>
          </w:p>
        </w:tc>
      </w:tr>
    </w:tbl>
    <w:p w:rsidR="00C3348D" w:rsidRPr="000900A1" w:rsidRDefault="00C3348D" w:rsidP="00C3348D">
      <w:pPr>
        <w:pStyle w:val="EndNoteBibliography"/>
        <w:spacing w:line="360" w:lineRule="auto"/>
        <w:ind w:left="720" w:hanging="720"/>
        <w:jc w:val="center"/>
        <w:rPr>
          <w:rFonts w:eastAsia="SimSun"/>
          <w:color w:val="000000" w:themeColor="text1"/>
          <w:sz w:val="21"/>
          <w:szCs w:val="21"/>
        </w:rPr>
      </w:pPr>
    </w:p>
    <w:p w:rsidR="00C3348D" w:rsidRPr="000900A1" w:rsidRDefault="00C3348D" w:rsidP="00C3348D">
      <w:pPr>
        <w:pStyle w:val="EndNoteBibliography"/>
        <w:spacing w:line="360" w:lineRule="auto"/>
        <w:ind w:left="720" w:hanging="720"/>
        <w:jc w:val="center"/>
        <w:rPr>
          <w:b/>
          <w:bCs/>
          <w:color w:val="000000" w:themeColor="text1"/>
          <w:sz w:val="21"/>
          <w:szCs w:val="21"/>
        </w:rPr>
      </w:pPr>
      <w:r w:rsidRPr="000900A1">
        <w:rPr>
          <w:rFonts w:eastAsia="SimSun"/>
          <w:b/>
          <w:bCs/>
          <w:color w:val="000000" w:themeColor="text1"/>
          <w:sz w:val="21"/>
          <w:szCs w:val="21"/>
        </w:rPr>
        <w:t xml:space="preserve">Table.S2 </w:t>
      </w:r>
      <w:r w:rsidRPr="000900A1">
        <w:rPr>
          <w:b/>
          <w:bCs/>
          <w:color w:val="000000" w:themeColor="text1"/>
          <w:sz w:val="21"/>
          <w:szCs w:val="21"/>
        </w:rPr>
        <w:t>Linear regression analysis between the expression levels of key gibberellin pathway genes and the contents of gibberellin-related endogenous hormones.</w:t>
      </w:r>
    </w:p>
    <w:tbl>
      <w:tblPr>
        <w:tblStyle w:val="TableGrid"/>
        <w:tblW w:w="1006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1190"/>
        <w:gridCol w:w="1150"/>
        <w:gridCol w:w="1372"/>
        <w:gridCol w:w="1177"/>
        <w:gridCol w:w="756"/>
        <w:gridCol w:w="891"/>
        <w:gridCol w:w="2259"/>
      </w:tblGrid>
      <w:tr w:rsidR="00C3348D" w:rsidRPr="000900A1" w:rsidTr="00090342">
        <w:trPr>
          <w:trHeight w:val="280"/>
          <w:jc w:val="center"/>
        </w:trPr>
        <w:tc>
          <w:tcPr>
            <w:tcW w:w="1270"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Gene name</w:t>
            </w:r>
          </w:p>
        </w:tc>
        <w:tc>
          <w:tcPr>
            <w:tcW w:w="1190"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Hormone type</w:t>
            </w:r>
          </w:p>
        </w:tc>
        <w:tc>
          <w:tcPr>
            <w:tcW w:w="1150"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Constant</w:t>
            </w:r>
          </w:p>
        </w:tc>
        <w:tc>
          <w:tcPr>
            <w:tcW w:w="1372"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Regression Coefficient (B)</w:t>
            </w:r>
          </w:p>
        </w:tc>
        <w:tc>
          <w:tcPr>
            <w:tcW w:w="1177"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Standard error</w:t>
            </w:r>
          </w:p>
        </w:tc>
        <w:tc>
          <w:tcPr>
            <w:tcW w:w="756"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i/>
                <w:iCs/>
                <w:color w:val="000000" w:themeColor="text1"/>
                <w:sz w:val="18"/>
                <w:szCs w:val="18"/>
              </w:rPr>
            </w:pPr>
            <w:r w:rsidRPr="000900A1">
              <w:rPr>
                <w:rFonts w:ascii="Times New Roman" w:hAnsi="Times New Roman" w:cs="Times New Roman"/>
                <w:b/>
                <w:bCs/>
                <w:i/>
                <w:iCs/>
                <w:color w:val="000000" w:themeColor="text1"/>
                <w:sz w:val="18"/>
                <w:szCs w:val="18"/>
              </w:rPr>
              <w:t>P</w:t>
            </w:r>
          </w:p>
        </w:tc>
        <w:tc>
          <w:tcPr>
            <w:tcW w:w="891"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i/>
                <w:iCs/>
                <w:color w:val="000000" w:themeColor="text1"/>
                <w:sz w:val="18"/>
                <w:szCs w:val="18"/>
              </w:rPr>
              <w:t>R</w:t>
            </w:r>
            <w:r w:rsidRPr="000900A1">
              <w:rPr>
                <w:rFonts w:ascii="Times New Roman" w:hAnsi="Times New Roman" w:cs="Times New Roman"/>
                <w:b/>
                <w:bCs/>
                <w:color w:val="000000" w:themeColor="text1"/>
                <w:sz w:val="18"/>
                <w:szCs w:val="18"/>
              </w:rPr>
              <w:t>²</w:t>
            </w:r>
          </w:p>
        </w:tc>
        <w:tc>
          <w:tcPr>
            <w:tcW w:w="2259" w:type="dxa"/>
            <w:tcBorders>
              <w:top w:val="single" w:sz="12" w:space="0" w:color="auto"/>
              <w:left w:val="nil"/>
              <w:bottom w:val="single" w:sz="4" w:space="0" w:color="auto"/>
              <w:right w:val="nil"/>
            </w:tcBorders>
            <w:noWrap/>
            <w:vAlign w:val="center"/>
            <w:hideMark/>
          </w:tcPr>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 xml:space="preserve">Regression </w:t>
            </w:r>
          </w:p>
          <w:p w:rsidR="00C3348D" w:rsidRPr="000900A1" w:rsidRDefault="00C3348D" w:rsidP="00090342">
            <w:pPr>
              <w:spacing w:line="360" w:lineRule="auto"/>
              <w:rPr>
                <w:rFonts w:ascii="Times New Roman" w:hAnsi="Times New Roman" w:cs="Times New Roman"/>
                <w:b/>
                <w:bCs/>
                <w:color w:val="000000" w:themeColor="text1"/>
                <w:sz w:val="18"/>
                <w:szCs w:val="18"/>
              </w:rPr>
            </w:pPr>
            <w:r w:rsidRPr="000900A1">
              <w:rPr>
                <w:rFonts w:ascii="Times New Roman" w:hAnsi="Times New Roman" w:cs="Times New Roman"/>
                <w:b/>
                <w:bCs/>
                <w:color w:val="000000" w:themeColor="text1"/>
                <w:sz w:val="18"/>
                <w:szCs w:val="18"/>
              </w:rPr>
              <w:t>equation</w:t>
            </w:r>
          </w:p>
        </w:tc>
      </w:tr>
      <w:tr w:rsidR="00C3348D" w:rsidRPr="000900A1" w:rsidTr="00090342">
        <w:trPr>
          <w:trHeight w:val="280"/>
          <w:jc w:val="center"/>
        </w:trPr>
        <w:tc>
          <w:tcPr>
            <w:tcW w:w="1270"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GA20ox1B</w:t>
            </w:r>
          </w:p>
        </w:tc>
        <w:tc>
          <w:tcPr>
            <w:tcW w:w="1190"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3</w:t>
            </w:r>
          </w:p>
        </w:tc>
        <w:tc>
          <w:tcPr>
            <w:tcW w:w="1150"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9.687</w:t>
            </w:r>
          </w:p>
        </w:tc>
        <w:tc>
          <w:tcPr>
            <w:tcW w:w="1372"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-0.011</w:t>
            </w:r>
          </w:p>
        </w:tc>
        <w:tc>
          <w:tcPr>
            <w:tcW w:w="1177"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0.014</w:t>
            </w:r>
          </w:p>
        </w:tc>
        <w:tc>
          <w:tcPr>
            <w:tcW w:w="756"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0.481</w:t>
            </w:r>
          </w:p>
        </w:tc>
        <w:tc>
          <w:tcPr>
            <w:tcW w:w="891"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0.104</w:t>
            </w:r>
          </w:p>
        </w:tc>
        <w:tc>
          <w:tcPr>
            <w:tcW w:w="2259" w:type="dxa"/>
            <w:tcBorders>
              <w:top w:val="single" w:sz="4" w:space="0" w:color="auto"/>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=-0.011</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+9.687</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GA20ox1B</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1</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9.944</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-0.366</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0.417</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0.421</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0.133</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=-0.366</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+9.944</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GA20ox1B</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7</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-5.925</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36.680</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46.100</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0.462</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0.112</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=36.680</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-5.925</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GA20ox1B</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8</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-4.516</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10.731</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3.372</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0.238</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0.264</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=10.732</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-4.516</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GA20OX3</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3</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13.979</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-0.003</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0.004</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0.450</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0.119</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=-0.003</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+13.987</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GA20OX3</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1</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13.990</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-0.085</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0.109</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0.472</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0.108</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=-0.085</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+13.990</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GA20OX3</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7</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17.120</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-8.726</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-0.309</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0.501</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0.095</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=-8.726</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+17.120</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GA20OX3</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8</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14.118</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-0.935</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-0.412</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0.359</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0.169</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=-0.935</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+14.118</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GA2OX1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3</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23.143</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0.171</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0.061</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0.038</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0.610</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=-0.171</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+23.143</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GA2OX1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1</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22.597</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4.987</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2.025</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0.057</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0.548</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=-4.987</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+22.597</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GA2OX1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7</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74.801</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-84.793</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326.626</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0.806</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0.013</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=-84.793</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+74.801</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GA2OX1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8</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29.712</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24.213</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24.090</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0.361</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0.168</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=-24.213</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+29.712</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3</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26.444</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-0.020</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0.0194</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0.342</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0.180</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=-0.020x+26.444</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1</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26.641</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-0.626</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0.594</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0.340</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0.182</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=-0.626</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+26.641</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lastRenderedPageBreak/>
              <w:t>GID1C-1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7</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8.541</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39.857</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69.390</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0.591</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0.062</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=39.857</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+8.541</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GID1C-1</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8</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25.159</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-1.808</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5.697</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0.764</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0.020</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=-1.808</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+25.159</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GID1C-2</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3</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2.843</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0.001</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0.001</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0.458</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0.114</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=0.001</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+2.843</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GID1C-2</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1</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2.844</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0.025</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0.035</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0.508</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0.092</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=0.025</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+2.844</w:t>
            </w:r>
          </w:p>
        </w:tc>
      </w:tr>
      <w:tr w:rsidR="00C3348D" w:rsidRPr="000900A1" w:rsidTr="00090342">
        <w:trPr>
          <w:trHeight w:val="280"/>
          <w:jc w:val="center"/>
        </w:trPr>
        <w:tc>
          <w:tcPr>
            <w:tcW w:w="127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GID1C-2</w:t>
            </w:r>
          </w:p>
        </w:tc>
        <w:tc>
          <w:tcPr>
            <w:tcW w:w="119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7</w:t>
            </w:r>
          </w:p>
        </w:tc>
        <w:tc>
          <w:tcPr>
            <w:tcW w:w="1150"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1.013</w:t>
            </w:r>
          </w:p>
        </w:tc>
        <w:tc>
          <w:tcPr>
            <w:tcW w:w="1372"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4.872</w:t>
            </w:r>
          </w:p>
        </w:tc>
        <w:tc>
          <w:tcPr>
            <w:tcW w:w="1177"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3.382</w:t>
            </w:r>
          </w:p>
        </w:tc>
        <w:tc>
          <w:tcPr>
            <w:tcW w:w="756"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0.209</w:t>
            </w:r>
          </w:p>
        </w:tc>
        <w:tc>
          <w:tcPr>
            <w:tcW w:w="891"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0.293</w:t>
            </w:r>
          </w:p>
        </w:tc>
        <w:tc>
          <w:tcPr>
            <w:tcW w:w="2259" w:type="dxa"/>
            <w:tcBorders>
              <w:top w:val="nil"/>
              <w:left w:val="nil"/>
              <w:bottom w:val="nil"/>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=4.873</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+1.013</w:t>
            </w:r>
          </w:p>
        </w:tc>
      </w:tr>
      <w:tr w:rsidR="00C3348D" w:rsidRPr="000900A1" w:rsidTr="00090342">
        <w:trPr>
          <w:trHeight w:val="280"/>
          <w:jc w:val="center"/>
        </w:trPr>
        <w:tc>
          <w:tcPr>
            <w:tcW w:w="1270"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i/>
                <w:iCs/>
                <w:color w:val="000000" w:themeColor="text1"/>
                <w:sz w:val="18"/>
                <w:szCs w:val="18"/>
              </w:rPr>
            </w:pPr>
            <w:r w:rsidRPr="000900A1">
              <w:rPr>
                <w:rFonts w:ascii="Times New Roman" w:hAnsi="Times New Roman" w:cs="Times New Roman"/>
                <w:i/>
                <w:iCs/>
                <w:color w:val="000000" w:themeColor="text1"/>
                <w:sz w:val="18"/>
                <w:szCs w:val="18"/>
              </w:rPr>
              <w:t>GID1C-2</w:t>
            </w:r>
          </w:p>
        </w:tc>
        <w:tc>
          <w:tcPr>
            <w:tcW w:w="1190"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GA</w:t>
            </w:r>
            <w:r w:rsidRPr="000900A1">
              <w:rPr>
                <w:rFonts w:ascii="Times New Roman" w:hAnsi="Times New Roman" w:cs="Times New Roman"/>
                <w:color w:val="000000" w:themeColor="text1"/>
                <w:sz w:val="18"/>
                <w:szCs w:val="18"/>
                <w:vertAlign w:val="subscript"/>
              </w:rPr>
              <w:t>8</w:t>
            </w:r>
          </w:p>
        </w:tc>
        <w:tc>
          <w:tcPr>
            <w:tcW w:w="1150"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2.839</w:t>
            </w:r>
          </w:p>
        </w:tc>
        <w:tc>
          <w:tcPr>
            <w:tcW w:w="1372"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0.208</w:t>
            </w:r>
          </w:p>
        </w:tc>
        <w:tc>
          <w:tcPr>
            <w:tcW w:w="1177"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0.309</w:t>
            </w:r>
          </w:p>
        </w:tc>
        <w:tc>
          <w:tcPr>
            <w:tcW w:w="756"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0.531</w:t>
            </w:r>
          </w:p>
        </w:tc>
        <w:tc>
          <w:tcPr>
            <w:tcW w:w="891"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color w:val="000000" w:themeColor="text1"/>
                <w:sz w:val="18"/>
                <w:szCs w:val="18"/>
              </w:rPr>
              <w:t>0.083</w:t>
            </w:r>
          </w:p>
        </w:tc>
        <w:tc>
          <w:tcPr>
            <w:tcW w:w="2259" w:type="dxa"/>
            <w:tcBorders>
              <w:top w:val="nil"/>
              <w:left w:val="nil"/>
              <w:bottom w:val="single" w:sz="12" w:space="0" w:color="auto"/>
              <w:right w:val="nil"/>
            </w:tcBorders>
            <w:noWrap/>
            <w:vAlign w:val="center"/>
            <w:hideMark/>
          </w:tcPr>
          <w:p w:rsidR="00C3348D" w:rsidRPr="000900A1" w:rsidRDefault="00C3348D" w:rsidP="00090342">
            <w:pPr>
              <w:spacing w:line="360" w:lineRule="auto"/>
              <w:rPr>
                <w:rFonts w:ascii="Times New Roman" w:hAnsi="Times New Roman" w:cs="Times New Roman"/>
                <w:color w:val="000000" w:themeColor="text1"/>
                <w:sz w:val="18"/>
                <w:szCs w:val="18"/>
              </w:rPr>
            </w:pPr>
            <w:r w:rsidRPr="000900A1">
              <w:rPr>
                <w:rFonts w:ascii="Times New Roman" w:hAnsi="Times New Roman" w:cs="Times New Roman"/>
                <w:i/>
                <w:iCs/>
                <w:color w:val="000000" w:themeColor="text1"/>
                <w:sz w:val="18"/>
                <w:szCs w:val="18"/>
              </w:rPr>
              <w:t>y</w:t>
            </w:r>
            <w:r w:rsidRPr="000900A1">
              <w:rPr>
                <w:rFonts w:ascii="Times New Roman" w:hAnsi="Times New Roman" w:cs="Times New Roman"/>
                <w:color w:val="000000" w:themeColor="text1"/>
                <w:sz w:val="18"/>
                <w:szCs w:val="18"/>
              </w:rPr>
              <w:t>=0.208</w:t>
            </w:r>
            <w:r w:rsidRPr="000900A1">
              <w:rPr>
                <w:rFonts w:ascii="Times New Roman" w:hAnsi="Times New Roman" w:cs="Times New Roman"/>
                <w:i/>
                <w:iCs/>
                <w:color w:val="000000" w:themeColor="text1"/>
                <w:sz w:val="18"/>
                <w:szCs w:val="18"/>
              </w:rPr>
              <w:t>x</w:t>
            </w:r>
            <w:r w:rsidRPr="000900A1">
              <w:rPr>
                <w:rFonts w:ascii="Times New Roman" w:hAnsi="Times New Roman" w:cs="Times New Roman"/>
                <w:color w:val="000000" w:themeColor="text1"/>
                <w:sz w:val="18"/>
                <w:szCs w:val="18"/>
              </w:rPr>
              <w:t>+2.839</w:t>
            </w:r>
          </w:p>
        </w:tc>
      </w:tr>
    </w:tbl>
    <w:p w:rsidR="00C3348D" w:rsidRPr="000900A1" w:rsidRDefault="00C3348D" w:rsidP="00C3348D">
      <w:pPr>
        <w:spacing w:line="360" w:lineRule="auto"/>
        <w:rPr>
          <w:rFonts w:ascii="Times New Roman" w:eastAsia="DengXian" w:hAnsi="Times New Roman" w:cs="Times New Roman"/>
          <w:b/>
          <w:bCs/>
          <w:noProof/>
          <w:color w:val="000000" w:themeColor="text1"/>
          <w:szCs w:val="21"/>
        </w:rPr>
      </w:pPr>
    </w:p>
    <w:p w:rsidR="00C3348D" w:rsidRPr="000900A1" w:rsidRDefault="00C3348D" w:rsidP="00C3348D">
      <w:pPr>
        <w:spacing w:line="360" w:lineRule="auto"/>
        <w:jc w:val="center"/>
        <w:rPr>
          <w:rFonts w:ascii="Times New Roman" w:eastAsia="SimSun" w:hAnsi="Times New Roman" w:cs="Times New Roman"/>
          <w:b/>
          <w:bCs/>
          <w:color w:val="000000" w:themeColor="text1"/>
          <w:szCs w:val="21"/>
        </w:rPr>
      </w:pPr>
      <w:bookmarkStart w:id="1" w:name="OLE_LINK12"/>
      <w:r w:rsidRPr="000900A1">
        <w:rPr>
          <w:rFonts w:ascii="Times New Roman" w:eastAsia="SimSun" w:hAnsi="Times New Roman" w:cs="Times New Roman"/>
          <w:b/>
          <w:bCs/>
          <w:color w:val="000000" w:themeColor="text1"/>
          <w:szCs w:val="21"/>
        </w:rPr>
        <w:t>Table.S</w:t>
      </w:r>
      <w:bookmarkEnd w:id="1"/>
      <w:r w:rsidRPr="000900A1">
        <w:rPr>
          <w:rFonts w:ascii="Times New Roman" w:eastAsia="SimSun" w:hAnsi="Times New Roman" w:cs="Times New Roman"/>
          <w:b/>
          <w:bCs/>
          <w:color w:val="000000" w:themeColor="text1"/>
          <w:szCs w:val="21"/>
        </w:rPr>
        <w:t xml:space="preserve">3 Gene names and corresponding Gene IDs of the </w:t>
      </w:r>
      <w:r w:rsidRPr="000900A1">
        <w:rPr>
          <w:rFonts w:ascii="Times New Roman" w:eastAsia="SimSun" w:hAnsi="Times New Roman" w:cs="Times New Roman"/>
          <w:b/>
          <w:bCs/>
          <w:i/>
          <w:iCs/>
          <w:color w:val="000000" w:themeColor="text1"/>
          <w:szCs w:val="21"/>
        </w:rPr>
        <w:t>PyTCP</w:t>
      </w:r>
      <w:r w:rsidRPr="000900A1">
        <w:rPr>
          <w:rFonts w:ascii="Times New Roman" w:eastAsia="SimSun" w:hAnsi="Times New Roman" w:cs="Times New Roman"/>
          <w:b/>
          <w:bCs/>
          <w:color w:val="000000" w:themeColor="text1"/>
          <w:szCs w:val="21"/>
        </w:rPr>
        <w:t xml:space="preserve"> transcription factor family members in </w:t>
      </w:r>
      <w:r w:rsidRPr="000900A1">
        <w:rPr>
          <w:rFonts w:ascii="Times New Roman" w:eastAsia="SimSun" w:hAnsi="Times New Roman" w:cs="Times New Roman"/>
          <w:b/>
          <w:bCs/>
          <w:i/>
          <w:iCs/>
          <w:color w:val="000000" w:themeColor="text1"/>
          <w:szCs w:val="21"/>
        </w:rPr>
        <w:t>Pinus yunnanensis</w:t>
      </w:r>
      <w:r w:rsidRPr="000900A1">
        <w:rPr>
          <w:rFonts w:ascii="Times New Roman" w:eastAsia="SimSun" w:hAnsi="Times New Roman" w:cs="Times New Roman"/>
          <w:b/>
          <w:bCs/>
          <w:color w:val="000000" w:themeColor="text1"/>
          <w:szCs w:val="21"/>
        </w:rPr>
        <w:t>.</w:t>
      </w:r>
    </w:p>
    <w:tbl>
      <w:tblPr>
        <w:tblW w:w="7761" w:type="dxa"/>
        <w:jc w:val="center"/>
        <w:tblLook w:val="04A0" w:firstRow="1" w:lastRow="0" w:firstColumn="1" w:lastColumn="0" w:noHBand="0" w:noVBand="1"/>
      </w:tblPr>
      <w:tblGrid>
        <w:gridCol w:w="1326"/>
        <w:gridCol w:w="1399"/>
        <w:gridCol w:w="1211"/>
        <w:gridCol w:w="1362"/>
        <w:gridCol w:w="1211"/>
        <w:gridCol w:w="1252"/>
      </w:tblGrid>
      <w:tr w:rsidR="00C3348D" w:rsidRPr="000900A1" w:rsidTr="00090342">
        <w:trPr>
          <w:trHeight w:val="253"/>
          <w:jc w:val="center"/>
        </w:trPr>
        <w:tc>
          <w:tcPr>
            <w:tcW w:w="1326"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Name</w:t>
            </w:r>
          </w:p>
        </w:tc>
        <w:tc>
          <w:tcPr>
            <w:tcW w:w="1399"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Gene ID</w:t>
            </w:r>
          </w:p>
        </w:tc>
        <w:tc>
          <w:tcPr>
            <w:tcW w:w="1211"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Name</w:t>
            </w:r>
          </w:p>
        </w:tc>
        <w:tc>
          <w:tcPr>
            <w:tcW w:w="1362"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Gene ID</w:t>
            </w:r>
          </w:p>
        </w:tc>
        <w:tc>
          <w:tcPr>
            <w:tcW w:w="1211"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Name</w:t>
            </w:r>
          </w:p>
        </w:tc>
        <w:tc>
          <w:tcPr>
            <w:tcW w:w="1252" w:type="dxa"/>
            <w:tcBorders>
              <w:top w:val="single" w:sz="12" w:space="0" w:color="auto"/>
              <w:left w:val="nil"/>
              <w:bottom w:val="single" w:sz="4"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b/>
                <w:bCs/>
                <w:color w:val="000000" w:themeColor="text1"/>
                <w:szCs w:val="21"/>
              </w:rPr>
            </w:pPr>
            <w:r w:rsidRPr="000900A1">
              <w:rPr>
                <w:rFonts w:ascii="Times New Roman" w:eastAsia="SimSun" w:hAnsi="Times New Roman" w:cs="Times New Roman"/>
                <w:b/>
                <w:bCs/>
                <w:color w:val="000000" w:themeColor="text1"/>
                <w:szCs w:val="21"/>
              </w:rPr>
              <w:t>Gene ID</w:t>
            </w:r>
          </w:p>
        </w:tc>
      </w:tr>
      <w:tr w:rsidR="00C3348D" w:rsidRPr="000900A1" w:rsidTr="00090342">
        <w:trPr>
          <w:trHeight w:val="253"/>
          <w:jc w:val="center"/>
        </w:trPr>
        <w:tc>
          <w:tcPr>
            <w:tcW w:w="1326"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PyTCP36</w:t>
            </w:r>
          </w:p>
        </w:tc>
        <w:tc>
          <w:tcPr>
            <w:tcW w:w="1399"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Pt5G59850</w:t>
            </w:r>
          </w:p>
        </w:tc>
        <w:tc>
          <w:tcPr>
            <w:tcW w:w="1211"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PyTCP41</w:t>
            </w:r>
          </w:p>
        </w:tc>
        <w:tc>
          <w:tcPr>
            <w:tcW w:w="1362"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Pt9G18760</w:t>
            </w:r>
          </w:p>
        </w:tc>
        <w:tc>
          <w:tcPr>
            <w:tcW w:w="1211"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PyTCP3</w:t>
            </w:r>
          </w:p>
        </w:tc>
        <w:tc>
          <w:tcPr>
            <w:tcW w:w="1252" w:type="dxa"/>
            <w:tcBorders>
              <w:top w:val="single" w:sz="4" w:space="0" w:color="auto"/>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Pt6G43440</w:t>
            </w:r>
          </w:p>
        </w:tc>
      </w:tr>
      <w:tr w:rsidR="00C3348D" w:rsidRPr="000900A1" w:rsidTr="00090342">
        <w:trPr>
          <w:trHeight w:val="253"/>
          <w:jc w:val="center"/>
        </w:trPr>
        <w:tc>
          <w:tcPr>
            <w:tcW w:w="1326"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PyTCP37</w:t>
            </w:r>
          </w:p>
        </w:tc>
        <w:tc>
          <w:tcPr>
            <w:tcW w:w="1399"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PtQG11760</w:t>
            </w:r>
          </w:p>
        </w:tc>
        <w:tc>
          <w:tcPr>
            <w:tcW w:w="1211"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PyTCP42</w:t>
            </w:r>
          </w:p>
        </w:tc>
        <w:tc>
          <w:tcPr>
            <w:tcW w:w="1362"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Pt5G24770</w:t>
            </w:r>
          </w:p>
        </w:tc>
        <w:tc>
          <w:tcPr>
            <w:tcW w:w="1211"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PyTCP4</w:t>
            </w:r>
          </w:p>
        </w:tc>
        <w:tc>
          <w:tcPr>
            <w:tcW w:w="1252"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Pt6G43480</w:t>
            </w:r>
          </w:p>
        </w:tc>
      </w:tr>
      <w:tr w:rsidR="00C3348D" w:rsidRPr="000900A1" w:rsidTr="00090342">
        <w:trPr>
          <w:trHeight w:val="253"/>
          <w:jc w:val="center"/>
        </w:trPr>
        <w:tc>
          <w:tcPr>
            <w:tcW w:w="1326"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PyTCP38</w:t>
            </w:r>
          </w:p>
        </w:tc>
        <w:tc>
          <w:tcPr>
            <w:tcW w:w="1399"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Pt9G43570</w:t>
            </w:r>
          </w:p>
        </w:tc>
        <w:tc>
          <w:tcPr>
            <w:tcW w:w="1211"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PyTCP43</w:t>
            </w:r>
          </w:p>
        </w:tc>
        <w:tc>
          <w:tcPr>
            <w:tcW w:w="1362"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Pt1G10100</w:t>
            </w:r>
          </w:p>
        </w:tc>
        <w:tc>
          <w:tcPr>
            <w:tcW w:w="1211"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PyTCP5</w:t>
            </w:r>
          </w:p>
        </w:tc>
        <w:tc>
          <w:tcPr>
            <w:tcW w:w="1252" w:type="dxa"/>
            <w:tcBorders>
              <w:top w:val="nil"/>
              <w:left w:val="nil"/>
              <w:bottom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Pt6G43400</w:t>
            </w:r>
          </w:p>
        </w:tc>
      </w:tr>
      <w:tr w:rsidR="00C3348D" w:rsidRPr="000900A1" w:rsidTr="00090342">
        <w:trPr>
          <w:trHeight w:val="253"/>
          <w:jc w:val="center"/>
        </w:trPr>
        <w:tc>
          <w:tcPr>
            <w:tcW w:w="1326"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PyTCP39</w:t>
            </w:r>
          </w:p>
        </w:tc>
        <w:tc>
          <w:tcPr>
            <w:tcW w:w="1399"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PtXG25900</w:t>
            </w:r>
          </w:p>
        </w:tc>
        <w:tc>
          <w:tcPr>
            <w:tcW w:w="1211"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PyTCP11</w:t>
            </w:r>
          </w:p>
        </w:tc>
        <w:tc>
          <w:tcPr>
            <w:tcW w:w="1362"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Pt1G79940</w:t>
            </w:r>
          </w:p>
        </w:tc>
        <w:tc>
          <w:tcPr>
            <w:tcW w:w="1211"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PyTCP6</w:t>
            </w:r>
          </w:p>
        </w:tc>
        <w:tc>
          <w:tcPr>
            <w:tcW w:w="1252" w:type="dxa"/>
            <w:tcBorders>
              <w:top w:val="nil"/>
              <w:left w:val="nil"/>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Pt6G43460</w:t>
            </w:r>
          </w:p>
        </w:tc>
      </w:tr>
      <w:tr w:rsidR="00C3348D" w:rsidRPr="000900A1" w:rsidTr="00090342">
        <w:trPr>
          <w:trHeight w:val="253"/>
          <w:jc w:val="center"/>
        </w:trPr>
        <w:tc>
          <w:tcPr>
            <w:tcW w:w="1326"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PyTCP40</w:t>
            </w:r>
          </w:p>
        </w:tc>
        <w:tc>
          <w:tcPr>
            <w:tcW w:w="1399"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PtQG06090</w:t>
            </w:r>
          </w:p>
        </w:tc>
        <w:tc>
          <w:tcPr>
            <w:tcW w:w="1211"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i/>
                <w:iCs/>
                <w:color w:val="000000" w:themeColor="text1"/>
                <w:szCs w:val="21"/>
              </w:rPr>
              <w:t>PyTCP2</w:t>
            </w:r>
          </w:p>
        </w:tc>
        <w:tc>
          <w:tcPr>
            <w:tcW w:w="1362"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PtJG17690</w:t>
            </w:r>
          </w:p>
        </w:tc>
        <w:tc>
          <w:tcPr>
            <w:tcW w:w="1211"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i/>
                <w:iCs/>
                <w:color w:val="000000" w:themeColor="text1"/>
                <w:szCs w:val="21"/>
              </w:rPr>
            </w:pPr>
            <w:r w:rsidRPr="000900A1">
              <w:rPr>
                <w:rFonts w:ascii="Times New Roman" w:eastAsia="SimSun" w:hAnsi="Times New Roman" w:cs="Times New Roman"/>
                <w:i/>
                <w:iCs/>
                <w:color w:val="000000" w:themeColor="text1"/>
                <w:szCs w:val="21"/>
              </w:rPr>
              <w:t>PyTCP20</w:t>
            </w:r>
          </w:p>
        </w:tc>
        <w:tc>
          <w:tcPr>
            <w:tcW w:w="1252" w:type="dxa"/>
            <w:tcBorders>
              <w:top w:val="nil"/>
              <w:left w:val="nil"/>
              <w:bottom w:val="single" w:sz="12" w:space="0" w:color="auto"/>
              <w:right w:val="nil"/>
            </w:tcBorders>
            <w:noWrap/>
            <w:vAlign w:val="center"/>
          </w:tcPr>
          <w:p w:rsidR="00C3348D" w:rsidRPr="000900A1" w:rsidRDefault="00C3348D" w:rsidP="00090342">
            <w:pPr>
              <w:spacing w:line="360" w:lineRule="auto"/>
              <w:rPr>
                <w:rFonts w:ascii="Times New Roman" w:eastAsia="SimSun" w:hAnsi="Times New Roman" w:cs="Times New Roman"/>
                <w:color w:val="000000" w:themeColor="text1"/>
                <w:szCs w:val="21"/>
              </w:rPr>
            </w:pPr>
            <w:r w:rsidRPr="000900A1">
              <w:rPr>
                <w:rFonts w:ascii="Times New Roman" w:eastAsia="SimSun" w:hAnsi="Times New Roman" w:cs="Times New Roman"/>
                <w:color w:val="000000" w:themeColor="text1"/>
                <w:szCs w:val="21"/>
              </w:rPr>
              <w:t>Pt5G21180</w:t>
            </w:r>
          </w:p>
        </w:tc>
      </w:tr>
    </w:tbl>
    <w:p w:rsidR="00C3348D" w:rsidRPr="000900A1" w:rsidRDefault="00C3348D" w:rsidP="00C3348D">
      <w:pPr>
        <w:pStyle w:val="EndNoteBibliography"/>
        <w:spacing w:line="360" w:lineRule="auto"/>
        <w:rPr>
          <w:b/>
          <w:bCs/>
          <w:color w:val="000000" w:themeColor="text1"/>
          <w:sz w:val="21"/>
          <w:szCs w:val="21"/>
        </w:rPr>
      </w:pPr>
    </w:p>
    <w:p w:rsidR="00C3348D" w:rsidRPr="000900A1" w:rsidRDefault="00C3348D" w:rsidP="00C3348D">
      <w:pPr>
        <w:pStyle w:val="EndNoteBibliography"/>
        <w:spacing w:line="360" w:lineRule="auto"/>
        <w:ind w:left="720" w:hanging="720"/>
        <w:rPr>
          <w:b/>
          <w:bCs/>
          <w:color w:val="000000" w:themeColor="text1"/>
          <w:sz w:val="21"/>
          <w:szCs w:val="21"/>
        </w:rPr>
      </w:pPr>
      <w:r w:rsidRPr="000900A1">
        <w:rPr>
          <w:b/>
          <w:bCs/>
          <w:color w:val="000000" w:themeColor="text1"/>
          <w:sz w:val="21"/>
          <w:szCs w:val="21"/>
        </w:rPr>
        <w:t>Appendix Figure:</w:t>
      </w:r>
    </w:p>
    <w:p w:rsidR="00C3348D" w:rsidRPr="000900A1" w:rsidRDefault="00C3348D" w:rsidP="00C3348D">
      <w:pPr>
        <w:spacing w:line="360" w:lineRule="auto"/>
        <w:rPr>
          <w:rFonts w:ascii="Times New Roman" w:hAnsi="Times New Roman" w:cs="Times New Roman"/>
          <w:color w:val="000000" w:themeColor="text1"/>
          <w:sz w:val="24"/>
          <w:szCs w:val="24"/>
        </w:rPr>
      </w:pPr>
      <w:r w:rsidRPr="000900A1">
        <w:rPr>
          <w:rFonts w:ascii="Times New Roman" w:hAnsi="Times New Roman" w:cs="Times New Roman"/>
          <w:noProof/>
          <w:color w:val="000000" w:themeColor="text1"/>
          <w:sz w:val="24"/>
          <w:szCs w:val="24"/>
          <w:lang w:eastAsia="en-US"/>
        </w:rPr>
        <w:drawing>
          <wp:inline distT="0" distB="0" distL="0" distR="0" wp14:anchorId="42D17E3D" wp14:editId="79E4C652">
            <wp:extent cx="5067300" cy="3800475"/>
            <wp:effectExtent l="0" t="0" r="0" b="9525"/>
            <wp:docPr id="979247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75966" cy="3806975"/>
                    </a:xfrm>
                    <a:prstGeom prst="rect">
                      <a:avLst/>
                    </a:prstGeom>
                    <a:noFill/>
                  </pic:spPr>
                </pic:pic>
              </a:graphicData>
            </a:graphic>
          </wp:inline>
        </w:drawing>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Figure S1 Per-base quality distribution</w:t>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 xml:space="preserve">Note: The horizontal axis represents the position of bases in the reads (5' -&gt; 3'), and the vertical axis </w:t>
      </w:r>
      <w:r w:rsidRPr="000900A1">
        <w:rPr>
          <w:rFonts w:ascii="Times New Roman" w:hAnsi="Times New Roman" w:cs="Times New Roman"/>
          <w:color w:val="000000" w:themeColor="text1"/>
          <w:szCs w:val="21"/>
        </w:rPr>
        <w:lastRenderedPageBreak/>
        <w:t>represents the base Q-score at the corresponding position. The red line indicates the median, the blue line represents the mean, the yellow area denotes the interquartile range (25th–75th percentile), and the whiskers indicate the 10th–90th percentile range.</w:t>
      </w:r>
    </w:p>
    <w:p w:rsidR="00C3348D" w:rsidRPr="000900A1" w:rsidRDefault="00C3348D" w:rsidP="00C3348D">
      <w:pPr>
        <w:spacing w:line="360" w:lineRule="auto"/>
        <w:rPr>
          <w:rFonts w:ascii="Times New Roman" w:hAnsi="Times New Roman" w:cs="Times New Roman"/>
          <w:color w:val="000000" w:themeColor="text1"/>
          <w:sz w:val="24"/>
          <w:szCs w:val="24"/>
        </w:rPr>
      </w:pPr>
      <w:r w:rsidRPr="000900A1">
        <w:rPr>
          <w:rFonts w:ascii="Times New Roman" w:hAnsi="Times New Roman" w:cs="Times New Roman"/>
          <w:noProof/>
          <w:color w:val="000000" w:themeColor="text1"/>
          <w:sz w:val="24"/>
          <w:szCs w:val="24"/>
          <w:lang w:eastAsia="en-US"/>
        </w:rPr>
        <w:drawing>
          <wp:inline distT="0" distB="0" distL="0" distR="0" wp14:anchorId="589921A9" wp14:editId="05AD4390">
            <wp:extent cx="5274310" cy="3956050"/>
            <wp:effectExtent l="0" t="0" r="2540" b="6350"/>
            <wp:docPr id="2165141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14177" name="图片 216514177"/>
                    <pic:cNvPicPr/>
                  </pic:nvPicPr>
                  <pic:blipFill>
                    <a:blip r:embed="rId5"/>
                    <a:stretch>
                      <a:fillRect/>
                    </a:stretch>
                  </pic:blipFill>
                  <pic:spPr>
                    <a:xfrm>
                      <a:off x="0" y="0"/>
                      <a:ext cx="5274310" cy="3956050"/>
                    </a:xfrm>
                    <a:prstGeom prst="rect">
                      <a:avLst/>
                    </a:prstGeom>
                  </pic:spPr>
                </pic:pic>
              </a:graphicData>
            </a:graphic>
          </wp:inline>
        </w:drawing>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Figure S2 Per-base content distribution</w:t>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Note: The horizontal axis represents the position of bases in the reads (5' -&gt; 3'), and the vertical axis represents the proportion of each base at that position.</w:t>
      </w:r>
    </w:p>
    <w:p w:rsidR="00C3348D" w:rsidRPr="000900A1" w:rsidRDefault="00C3348D" w:rsidP="00C3348D">
      <w:pPr>
        <w:spacing w:line="360" w:lineRule="auto"/>
        <w:rPr>
          <w:rFonts w:ascii="Times New Roman" w:hAnsi="Times New Roman" w:cs="Times New Roman"/>
          <w:color w:val="000000" w:themeColor="text1"/>
          <w:sz w:val="24"/>
          <w:szCs w:val="24"/>
        </w:rPr>
      </w:pPr>
      <w:r w:rsidRPr="000900A1">
        <w:rPr>
          <w:rFonts w:ascii="Times New Roman" w:hAnsi="Times New Roman" w:cs="Times New Roman"/>
          <w:noProof/>
          <w:color w:val="000000" w:themeColor="text1"/>
          <w:sz w:val="24"/>
          <w:szCs w:val="24"/>
          <w:lang w:eastAsia="en-US"/>
        </w:rPr>
        <w:lastRenderedPageBreak/>
        <w:drawing>
          <wp:inline distT="0" distB="0" distL="0" distR="0" wp14:anchorId="6305A5C1" wp14:editId="6AB4D106">
            <wp:extent cx="5274310" cy="3956050"/>
            <wp:effectExtent l="0" t="0" r="2540" b="6350"/>
            <wp:docPr id="178221198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11985" name="图片 1782211985"/>
                    <pic:cNvPicPr/>
                  </pic:nvPicPr>
                  <pic:blipFill>
                    <a:blip r:embed="rId6"/>
                    <a:stretch>
                      <a:fillRect/>
                    </a:stretch>
                  </pic:blipFill>
                  <pic:spPr>
                    <a:xfrm>
                      <a:off x="0" y="0"/>
                      <a:ext cx="5274310" cy="3956050"/>
                    </a:xfrm>
                    <a:prstGeom prst="rect">
                      <a:avLst/>
                    </a:prstGeom>
                  </pic:spPr>
                </pic:pic>
              </a:graphicData>
            </a:graphic>
          </wp:inline>
        </w:drawing>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Figure S3 Per sequence quality distribution</w:t>
      </w:r>
    </w:p>
    <w:p w:rsidR="00C3348D" w:rsidRPr="000900A1" w:rsidRDefault="00C3348D" w:rsidP="00C3348D">
      <w:pPr>
        <w:spacing w:line="360" w:lineRule="auto"/>
        <w:rPr>
          <w:rFonts w:ascii="Times New Roman" w:hAnsi="Times New Roman" w:cs="Times New Roman"/>
          <w:color w:val="000000" w:themeColor="text1"/>
          <w:szCs w:val="21"/>
        </w:rPr>
      </w:pPr>
      <w:r w:rsidRPr="000900A1">
        <w:rPr>
          <w:rFonts w:ascii="Times New Roman" w:hAnsi="Times New Roman" w:cs="Times New Roman"/>
          <w:color w:val="000000" w:themeColor="text1"/>
          <w:szCs w:val="21"/>
        </w:rPr>
        <w:t>Note: The horizontal axis represents the average quality of reads, and the vertical axis represents the number of reads with that average quality.</w:t>
      </w:r>
    </w:p>
    <w:p w:rsidR="00C3348D" w:rsidRPr="000900A1" w:rsidRDefault="00C3348D" w:rsidP="00C3348D">
      <w:pPr>
        <w:pStyle w:val="EndNoteBibliography"/>
        <w:spacing w:line="360" w:lineRule="auto"/>
        <w:ind w:left="720" w:hanging="720"/>
        <w:rPr>
          <w:b/>
          <w:bCs/>
          <w:color w:val="000000" w:themeColor="text1"/>
          <w:sz w:val="32"/>
          <w:szCs w:val="32"/>
        </w:rPr>
      </w:pPr>
    </w:p>
    <w:p w:rsidR="00C3348D" w:rsidRPr="000900A1" w:rsidRDefault="00C3348D" w:rsidP="00C3348D">
      <w:pPr>
        <w:spacing w:line="360" w:lineRule="auto"/>
        <w:rPr>
          <w:rFonts w:ascii="Times New Roman" w:hAnsi="Times New Roman" w:cs="Times New Roman"/>
          <w:color w:val="000000" w:themeColor="text1"/>
        </w:rPr>
      </w:pPr>
    </w:p>
    <w:p w:rsidR="00C3348D" w:rsidRPr="000900A1" w:rsidRDefault="00C3348D" w:rsidP="00C3348D">
      <w:pPr>
        <w:rPr>
          <w:rFonts w:ascii="Times New Roman" w:hAnsi="Times New Roman" w:cs="Times New Roman"/>
          <w:color w:val="000000" w:themeColor="text1"/>
        </w:rPr>
      </w:pPr>
    </w:p>
    <w:p w:rsidR="00E8052D" w:rsidRDefault="00C3348D">
      <w:bookmarkStart w:id="2" w:name="_GoBack"/>
      <w:bookmarkEnd w:id="2"/>
    </w:p>
    <w:sectPr w:rsidR="00E8052D" w:rsidSect="00B942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48D"/>
    <w:rsid w:val="00001640"/>
    <w:rsid w:val="000115EE"/>
    <w:rsid w:val="000208DC"/>
    <w:rsid w:val="0002706F"/>
    <w:rsid w:val="00030FD6"/>
    <w:rsid w:val="00044CDC"/>
    <w:rsid w:val="000557B1"/>
    <w:rsid w:val="0006089F"/>
    <w:rsid w:val="00075972"/>
    <w:rsid w:val="00076BA9"/>
    <w:rsid w:val="00097EB0"/>
    <w:rsid w:val="000A246F"/>
    <w:rsid w:val="000A4E30"/>
    <w:rsid w:val="000A5DD1"/>
    <w:rsid w:val="000B0F37"/>
    <w:rsid w:val="000B46A7"/>
    <w:rsid w:val="000B4DF6"/>
    <w:rsid w:val="000C045A"/>
    <w:rsid w:val="000D4409"/>
    <w:rsid w:val="000D6BF4"/>
    <w:rsid w:val="000E2153"/>
    <w:rsid w:val="000E48EA"/>
    <w:rsid w:val="000F0DFC"/>
    <w:rsid w:val="001007E8"/>
    <w:rsid w:val="0010187E"/>
    <w:rsid w:val="001214B5"/>
    <w:rsid w:val="00125E4E"/>
    <w:rsid w:val="001329D6"/>
    <w:rsid w:val="00136CC4"/>
    <w:rsid w:val="001409D2"/>
    <w:rsid w:val="0014448C"/>
    <w:rsid w:val="001476B6"/>
    <w:rsid w:val="0015436B"/>
    <w:rsid w:val="00157CBF"/>
    <w:rsid w:val="0016437D"/>
    <w:rsid w:val="00167C51"/>
    <w:rsid w:val="001711FC"/>
    <w:rsid w:val="00172F7C"/>
    <w:rsid w:val="001730E8"/>
    <w:rsid w:val="0017592A"/>
    <w:rsid w:val="00182F85"/>
    <w:rsid w:val="0018710A"/>
    <w:rsid w:val="00192507"/>
    <w:rsid w:val="001A14EE"/>
    <w:rsid w:val="001A762E"/>
    <w:rsid w:val="001B043C"/>
    <w:rsid w:val="001B2A9F"/>
    <w:rsid w:val="001B3444"/>
    <w:rsid w:val="001C4BE5"/>
    <w:rsid w:val="001D0727"/>
    <w:rsid w:val="001D4073"/>
    <w:rsid w:val="001D41C9"/>
    <w:rsid w:val="001D7293"/>
    <w:rsid w:val="001E6CDE"/>
    <w:rsid w:val="001F185E"/>
    <w:rsid w:val="00206EB9"/>
    <w:rsid w:val="00213C61"/>
    <w:rsid w:val="0024007B"/>
    <w:rsid w:val="0024352A"/>
    <w:rsid w:val="00266498"/>
    <w:rsid w:val="00274805"/>
    <w:rsid w:val="00275C5F"/>
    <w:rsid w:val="00277152"/>
    <w:rsid w:val="0028788B"/>
    <w:rsid w:val="00287F7C"/>
    <w:rsid w:val="00294209"/>
    <w:rsid w:val="002A4E16"/>
    <w:rsid w:val="002A632F"/>
    <w:rsid w:val="002A648D"/>
    <w:rsid w:val="002A6D5C"/>
    <w:rsid w:val="002B3D86"/>
    <w:rsid w:val="002B4B8D"/>
    <w:rsid w:val="002C20A1"/>
    <w:rsid w:val="002D0934"/>
    <w:rsid w:val="002D10F8"/>
    <w:rsid w:val="002D4C12"/>
    <w:rsid w:val="002E308F"/>
    <w:rsid w:val="002E3DD6"/>
    <w:rsid w:val="002E4925"/>
    <w:rsid w:val="002E67DC"/>
    <w:rsid w:val="002F030C"/>
    <w:rsid w:val="003113BA"/>
    <w:rsid w:val="00315310"/>
    <w:rsid w:val="003232B1"/>
    <w:rsid w:val="003422BA"/>
    <w:rsid w:val="003454FE"/>
    <w:rsid w:val="00353FE2"/>
    <w:rsid w:val="0036268A"/>
    <w:rsid w:val="0036327C"/>
    <w:rsid w:val="00364482"/>
    <w:rsid w:val="00370D7C"/>
    <w:rsid w:val="0037591A"/>
    <w:rsid w:val="0038101B"/>
    <w:rsid w:val="00382BD9"/>
    <w:rsid w:val="003830CC"/>
    <w:rsid w:val="003869F6"/>
    <w:rsid w:val="003A5CCB"/>
    <w:rsid w:val="003B27E7"/>
    <w:rsid w:val="003C413A"/>
    <w:rsid w:val="003C6FFD"/>
    <w:rsid w:val="003C7708"/>
    <w:rsid w:val="003D3730"/>
    <w:rsid w:val="003D457D"/>
    <w:rsid w:val="003D65A2"/>
    <w:rsid w:val="003D667C"/>
    <w:rsid w:val="003D7A43"/>
    <w:rsid w:val="003E10EC"/>
    <w:rsid w:val="003E4679"/>
    <w:rsid w:val="003E6F52"/>
    <w:rsid w:val="003F1A29"/>
    <w:rsid w:val="003F467F"/>
    <w:rsid w:val="003F4ADB"/>
    <w:rsid w:val="004275CA"/>
    <w:rsid w:val="00432060"/>
    <w:rsid w:val="00442A93"/>
    <w:rsid w:val="00445B6D"/>
    <w:rsid w:val="00446C4A"/>
    <w:rsid w:val="00456024"/>
    <w:rsid w:val="00466CBF"/>
    <w:rsid w:val="004760B3"/>
    <w:rsid w:val="00482F74"/>
    <w:rsid w:val="004849B6"/>
    <w:rsid w:val="00494655"/>
    <w:rsid w:val="00497047"/>
    <w:rsid w:val="004B36C7"/>
    <w:rsid w:val="004B4B8A"/>
    <w:rsid w:val="004C4105"/>
    <w:rsid w:val="004D20B5"/>
    <w:rsid w:val="004D3F28"/>
    <w:rsid w:val="004D7FA7"/>
    <w:rsid w:val="004E5ED5"/>
    <w:rsid w:val="004F459D"/>
    <w:rsid w:val="00504B24"/>
    <w:rsid w:val="005057D9"/>
    <w:rsid w:val="00517D67"/>
    <w:rsid w:val="00520BC0"/>
    <w:rsid w:val="005225E7"/>
    <w:rsid w:val="00523FD8"/>
    <w:rsid w:val="005307FA"/>
    <w:rsid w:val="00532081"/>
    <w:rsid w:val="005334DC"/>
    <w:rsid w:val="00533EDC"/>
    <w:rsid w:val="00537B1A"/>
    <w:rsid w:val="00541927"/>
    <w:rsid w:val="00544F50"/>
    <w:rsid w:val="0054618C"/>
    <w:rsid w:val="00550687"/>
    <w:rsid w:val="00556C55"/>
    <w:rsid w:val="005669C7"/>
    <w:rsid w:val="0056737D"/>
    <w:rsid w:val="005A2799"/>
    <w:rsid w:val="005B0202"/>
    <w:rsid w:val="005B111C"/>
    <w:rsid w:val="005B6CDB"/>
    <w:rsid w:val="005C302A"/>
    <w:rsid w:val="005C317F"/>
    <w:rsid w:val="005C6E26"/>
    <w:rsid w:val="005D0DB8"/>
    <w:rsid w:val="005D7BF9"/>
    <w:rsid w:val="005E0119"/>
    <w:rsid w:val="005E6058"/>
    <w:rsid w:val="005F2E17"/>
    <w:rsid w:val="005F57DE"/>
    <w:rsid w:val="0060042D"/>
    <w:rsid w:val="00621F47"/>
    <w:rsid w:val="0062652F"/>
    <w:rsid w:val="00627FCA"/>
    <w:rsid w:val="00630B8B"/>
    <w:rsid w:val="006427DF"/>
    <w:rsid w:val="00646F52"/>
    <w:rsid w:val="00653D0F"/>
    <w:rsid w:val="00661819"/>
    <w:rsid w:val="00661FFD"/>
    <w:rsid w:val="00665F33"/>
    <w:rsid w:val="00672C54"/>
    <w:rsid w:val="00683EBB"/>
    <w:rsid w:val="00693662"/>
    <w:rsid w:val="0069791D"/>
    <w:rsid w:val="006A1DE0"/>
    <w:rsid w:val="006A5AC7"/>
    <w:rsid w:val="006B2496"/>
    <w:rsid w:val="006C245C"/>
    <w:rsid w:val="006C541A"/>
    <w:rsid w:val="006D270F"/>
    <w:rsid w:val="006D2DA5"/>
    <w:rsid w:val="006D5AF7"/>
    <w:rsid w:val="00700634"/>
    <w:rsid w:val="00702A40"/>
    <w:rsid w:val="007253F5"/>
    <w:rsid w:val="00740714"/>
    <w:rsid w:val="00743A43"/>
    <w:rsid w:val="007667AB"/>
    <w:rsid w:val="007723CC"/>
    <w:rsid w:val="007770B1"/>
    <w:rsid w:val="0078354C"/>
    <w:rsid w:val="00784BF7"/>
    <w:rsid w:val="007931B3"/>
    <w:rsid w:val="007A061D"/>
    <w:rsid w:val="007A4F50"/>
    <w:rsid w:val="007C0F4D"/>
    <w:rsid w:val="007E432B"/>
    <w:rsid w:val="007E4DE6"/>
    <w:rsid w:val="007E66FB"/>
    <w:rsid w:val="007F5797"/>
    <w:rsid w:val="0081013E"/>
    <w:rsid w:val="008111DB"/>
    <w:rsid w:val="00813CAF"/>
    <w:rsid w:val="00825805"/>
    <w:rsid w:val="008277E5"/>
    <w:rsid w:val="00835C4A"/>
    <w:rsid w:val="00836986"/>
    <w:rsid w:val="00842699"/>
    <w:rsid w:val="008528F6"/>
    <w:rsid w:val="008560BC"/>
    <w:rsid w:val="00860641"/>
    <w:rsid w:val="008670D1"/>
    <w:rsid w:val="00873AAD"/>
    <w:rsid w:val="00884161"/>
    <w:rsid w:val="0089076D"/>
    <w:rsid w:val="008B4553"/>
    <w:rsid w:val="008B6E0E"/>
    <w:rsid w:val="008C1465"/>
    <w:rsid w:val="008C6171"/>
    <w:rsid w:val="008C674F"/>
    <w:rsid w:val="008C6B7D"/>
    <w:rsid w:val="008F2F01"/>
    <w:rsid w:val="008F4834"/>
    <w:rsid w:val="008F74F6"/>
    <w:rsid w:val="0090340C"/>
    <w:rsid w:val="00904FDC"/>
    <w:rsid w:val="009065FA"/>
    <w:rsid w:val="00917E9C"/>
    <w:rsid w:val="00924AA6"/>
    <w:rsid w:val="00925CE4"/>
    <w:rsid w:val="00931FFB"/>
    <w:rsid w:val="009378C3"/>
    <w:rsid w:val="009573E1"/>
    <w:rsid w:val="0095745F"/>
    <w:rsid w:val="00980290"/>
    <w:rsid w:val="009812FE"/>
    <w:rsid w:val="009904B9"/>
    <w:rsid w:val="009B1AF4"/>
    <w:rsid w:val="009B5E17"/>
    <w:rsid w:val="009C7D92"/>
    <w:rsid w:val="009F0960"/>
    <w:rsid w:val="009F3134"/>
    <w:rsid w:val="009F673F"/>
    <w:rsid w:val="00A0633A"/>
    <w:rsid w:val="00A06ECD"/>
    <w:rsid w:val="00A11E2D"/>
    <w:rsid w:val="00A1766E"/>
    <w:rsid w:val="00A24618"/>
    <w:rsid w:val="00A3042E"/>
    <w:rsid w:val="00A320FA"/>
    <w:rsid w:val="00A35456"/>
    <w:rsid w:val="00A50A66"/>
    <w:rsid w:val="00A5155A"/>
    <w:rsid w:val="00A616C0"/>
    <w:rsid w:val="00A85222"/>
    <w:rsid w:val="00A961D3"/>
    <w:rsid w:val="00A9782A"/>
    <w:rsid w:val="00AA1907"/>
    <w:rsid w:val="00AA34B7"/>
    <w:rsid w:val="00AA6E10"/>
    <w:rsid w:val="00AB3A61"/>
    <w:rsid w:val="00AC1D55"/>
    <w:rsid w:val="00AC7121"/>
    <w:rsid w:val="00AD57D4"/>
    <w:rsid w:val="00AE4F3F"/>
    <w:rsid w:val="00AF42AD"/>
    <w:rsid w:val="00AF7C1F"/>
    <w:rsid w:val="00B15080"/>
    <w:rsid w:val="00B3211A"/>
    <w:rsid w:val="00B368CC"/>
    <w:rsid w:val="00B475F7"/>
    <w:rsid w:val="00B5793E"/>
    <w:rsid w:val="00B8205E"/>
    <w:rsid w:val="00B8350F"/>
    <w:rsid w:val="00B83645"/>
    <w:rsid w:val="00B85B31"/>
    <w:rsid w:val="00B9193B"/>
    <w:rsid w:val="00B925A1"/>
    <w:rsid w:val="00B950C9"/>
    <w:rsid w:val="00BA7835"/>
    <w:rsid w:val="00BD0A53"/>
    <w:rsid w:val="00BD3ADC"/>
    <w:rsid w:val="00BD45AB"/>
    <w:rsid w:val="00BD7902"/>
    <w:rsid w:val="00BE461E"/>
    <w:rsid w:val="00BF018B"/>
    <w:rsid w:val="00BF4386"/>
    <w:rsid w:val="00BF48E7"/>
    <w:rsid w:val="00C03490"/>
    <w:rsid w:val="00C04DB1"/>
    <w:rsid w:val="00C07368"/>
    <w:rsid w:val="00C126AA"/>
    <w:rsid w:val="00C15247"/>
    <w:rsid w:val="00C1789D"/>
    <w:rsid w:val="00C20E26"/>
    <w:rsid w:val="00C3348D"/>
    <w:rsid w:val="00C33ACF"/>
    <w:rsid w:val="00C37A3A"/>
    <w:rsid w:val="00C4111E"/>
    <w:rsid w:val="00C65D02"/>
    <w:rsid w:val="00C674C7"/>
    <w:rsid w:val="00C73B72"/>
    <w:rsid w:val="00C747BF"/>
    <w:rsid w:val="00C801CF"/>
    <w:rsid w:val="00C9580B"/>
    <w:rsid w:val="00CC29AC"/>
    <w:rsid w:val="00CC4112"/>
    <w:rsid w:val="00CC446B"/>
    <w:rsid w:val="00CE0F94"/>
    <w:rsid w:val="00CE5D12"/>
    <w:rsid w:val="00CF7608"/>
    <w:rsid w:val="00CF7F43"/>
    <w:rsid w:val="00D057C5"/>
    <w:rsid w:val="00D1105E"/>
    <w:rsid w:val="00D16C85"/>
    <w:rsid w:val="00D242E4"/>
    <w:rsid w:val="00D26038"/>
    <w:rsid w:val="00D44530"/>
    <w:rsid w:val="00D45AF0"/>
    <w:rsid w:val="00D45C9C"/>
    <w:rsid w:val="00D505BD"/>
    <w:rsid w:val="00D601C8"/>
    <w:rsid w:val="00D85388"/>
    <w:rsid w:val="00D87B1F"/>
    <w:rsid w:val="00D87F9D"/>
    <w:rsid w:val="00D92F2D"/>
    <w:rsid w:val="00D9671B"/>
    <w:rsid w:val="00DA4706"/>
    <w:rsid w:val="00DB3E5C"/>
    <w:rsid w:val="00DC7B51"/>
    <w:rsid w:val="00DF266C"/>
    <w:rsid w:val="00DF5F93"/>
    <w:rsid w:val="00DF7D22"/>
    <w:rsid w:val="00E03A96"/>
    <w:rsid w:val="00E04DFB"/>
    <w:rsid w:val="00E20D00"/>
    <w:rsid w:val="00E24FFC"/>
    <w:rsid w:val="00E57872"/>
    <w:rsid w:val="00E75BF8"/>
    <w:rsid w:val="00E8455C"/>
    <w:rsid w:val="00E9538B"/>
    <w:rsid w:val="00EA6C43"/>
    <w:rsid w:val="00EB1944"/>
    <w:rsid w:val="00EB3D61"/>
    <w:rsid w:val="00ED1741"/>
    <w:rsid w:val="00ED3784"/>
    <w:rsid w:val="00ED5133"/>
    <w:rsid w:val="00EF6667"/>
    <w:rsid w:val="00F00D22"/>
    <w:rsid w:val="00F01755"/>
    <w:rsid w:val="00F05518"/>
    <w:rsid w:val="00F05ADB"/>
    <w:rsid w:val="00F1047A"/>
    <w:rsid w:val="00F10696"/>
    <w:rsid w:val="00F15AA1"/>
    <w:rsid w:val="00F170D7"/>
    <w:rsid w:val="00F22726"/>
    <w:rsid w:val="00F25A3C"/>
    <w:rsid w:val="00F3100F"/>
    <w:rsid w:val="00F33A10"/>
    <w:rsid w:val="00F41649"/>
    <w:rsid w:val="00F4389E"/>
    <w:rsid w:val="00F44350"/>
    <w:rsid w:val="00F4468E"/>
    <w:rsid w:val="00F44D2F"/>
    <w:rsid w:val="00F44E96"/>
    <w:rsid w:val="00F5340C"/>
    <w:rsid w:val="00F5577E"/>
    <w:rsid w:val="00F615AB"/>
    <w:rsid w:val="00F64415"/>
    <w:rsid w:val="00F679BC"/>
    <w:rsid w:val="00F80811"/>
    <w:rsid w:val="00F85BB4"/>
    <w:rsid w:val="00F86DFC"/>
    <w:rsid w:val="00F87736"/>
    <w:rsid w:val="00F93E65"/>
    <w:rsid w:val="00F96684"/>
    <w:rsid w:val="00FA1721"/>
    <w:rsid w:val="00FB02A4"/>
    <w:rsid w:val="00FB335B"/>
    <w:rsid w:val="00FB7059"/>
    <w:rsid w:val="00FD1ECC"/>
    <w:rsid w:val="00FD540C"/>
    <w:rsid w:val="00FD604B"/>
    <w:rsid w:val="00FE25FE"/>
    <w:rsid w:val="00FF0EA1"/>
    <w:rsid w:val="00FF25C3"/>
    <w:rsid w:val="00FF6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0E81F-0967-44EF-8D36-01EEB3C1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48D"/>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rsid w:val="00C3348D"/>
    <w:rPr>
      <w:rFonts w:ascii="Times New Roman" w:eastAsia="DengXian" w:hAnsi="Times New Roman" w:cs="Times New Roman"/>
      <w:noProof/>
      <w:sz w:val="20"/>
    </w:rPr>
  </w:style>
  <w:style w:type="character" w:customStyle="1" w:styleId="EndNoteBibliography0">
    <w:name w:val="EndNote Bibliography 字符"/>
    <w:basedOn w:val="DefaultParagraphFont"/>
    <w:link w:val="EndNoteBibliography"/>
    <w:rsid w:val="00C3348D"/>
    <w:rPr>
      <w:rFonts w:ascii="Times New Roman" w:eastAsia="DengXian" w:hAnsi="Times New Roman" w:cs="Times New Roman"/>
      <w:noProof/>
      <w:kern w:val="2"/>
      <w:sz w:val="20"/>
      <w:lang w:eastAsia="zh-CN"/>
    </w:rPr>
  </w:style>
  <w:style w:type="table" w:styleId="TableGrid">
    <w:name w:val="Table Grid"/>
    <w:basedOn w:val="TableNormal"/>
    <w:uiPriority w:val="39"/>
    <w:qFormat/>
    <w:rsid w:val="00C3348D"/>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Mae Bayo</dc:creator>
  <cp:keywords/>
  <dc:description/>
  <cp:lastModifiedBy>Sheila Mae Bayo</cp:lastModifiedBy>
  <cp:revision>1</cp:revision>
  <dcterms:created xsi:type="dcterms:W3CDTF">2026-06-24T06:04:00Z</dcterms:created>
  <dcterms:modified xsi:type="dcterms:W3CDTF">2026-06-24T06:04:00Z</dcterms:modified>
</cp:coreProperties>
</file>