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D6900">
      <w:pPr>
        <w:rPr>
          <w:rFonts w:hint="eastAsia" w:eastAsiaTheme="minorEastAsia"/>
          <w:lang w:eastAsia="zh-CN"/>
        </w:rPr>
      </w:pPr>
      <w:r>
        <w:rPr>
          <w:rFonts w:hint="eastAsia" w:eastAsiaTheme="minorEastAsia"/>
          <w:lang w:eastAsia="zh-CN"/>
        </w:rPr>
        <w:drawing>
          <wp:inline distT="0" distB="0" distL="114300" distR="114300">
            <wp:extent cx="5266055" cy="2327910"/>
            <wp:effectExtent l="0" t="0" r="10795" b="15240"/>
            <wp:docPr id="1" name="图片 1" descr="Supplemental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l Figure 1"/>
                    <pic:cNvPicPr>
                      <a:picLocks noChangeAspect="1"/>
                    </pic:cNvPicPr>
                  </pic:nvPicPr>
                  <pic:blipFill>
                    <a:blip r:embed="rId4"/>
                    <a:stretch>
                      <a:fillRect/>
                    </a:stretch>
                  </pic:blipFill>
                  <pic:spPr>
                    <a:xfrm>
                      <a:off x="0" y="0"/>
                      <a:ext cx="5266055" cy="2327910"/>
                    </a:xfrm>
                    <a:prstGeom prst="rect">
                      <a:avLst/>
                    </a:prstGeom>
                  </pic:spPr>
                </pic:pic>
              </a:graphicData>
            </a:graphic>
          </wp:inline>
        </w:drawing>
      </w:r>
    </w:p>
    <w:p w14:paraId="71DDBD09">
      <w:pPr>
        <w:rPr>
          <w:rFonts w:hint="default" w:ascii="Times New Roman" w:hAnsi="Times New Roman" w:cs="Times New Roman" w:eastAsiaTheme="minorEastAsia"/>
          <w:b/>
          <w:bCs/>
          <w:sz w:val="24"/>
          <w:szCs w:val="24"/>
          <w:lang w:eastAsia="zh-CN"/>
        </w:rPr>
      </w:pPr>
    </w:p>
    <w:p w14:paraId="164C1993">
      <w:pPr>
        <w:widowControl/>
        <w:spacing w:before="100" w:beforeAutospacing="1" w:after="100" w:afterAutospacing="1" w:line="360" w:lineRule="auto"/>
        <w:rPr>
          <w:rFonts w:hint="default" w:ascii="Times New Roman" w:hAnsi="Times New Roman" w:cs="Times New Roman" w:eastAsiaTheme="minorEastAsia"/>
          <w:color w:val="auto"/>
          <w:sz w:val="24"/>
          <w:szCs w:val="24"/>
          <w:lang w:eastAsia="zh-CN"/>
        </w:rPr>
      </w:pPr>
      <w:bookmarkStart w:id="0" w:name="OLE_LINK3"/>
      <w:r>
        <w:rPr>
          <w:rFonts w:ascii="Times New Roman" w:hAnsi="Times New Roman" w:eastAsia="宋体" w:cs="Times New Roman"/>
          <w:b/>
          <w:bCs/>
          <w:color w:val="auto"/>
          <w:kern w:val="0"/>
          <w:sz w:val="24"/>
          <w:szCs w:val="24"/>
        </w:rPr>
        <w:t xml:space="preserve">Supplementary Figure 1. Bandage visualization of the mitochondrial (A) and chloroplast (B) assembly graphs of </w:t>
      </w:r>
      <w:r>
        <w:rPr>
          <w:rFonts w:ascii="Times New Roman" w:hAnsi="Times New Roman" w:eastAsia="宋体" w:cs="Times New Roman"/>
          <w:b/>
          <w:bCs/>
          <w:i/>
          <w:iCs/>
          <w:color w:val="auto"/>
          <w:kern w:val="0"/>
          <w:sz w:val="24"/>
          <w:szCs w:val="24"/>
        </w:rPr>
        <w:t>K. arborescens</w:t>
      </w:r>
      <w:r>
        <w:rPr>
          <w:rFonts w:ascii="Times New Roman" w:hAnsi="Times New Roman" w:eastAsia="宋体" w:cs="Times New Roman"/>
          <w:b/>
          <w:bCs/>
          <w:color w:val="auto"/>
          <w:kern w:val="0"/>
          <w:sz w:val="24"/>
          <w:szCs w:val="24"/>
        </w:rPr>
        <w:t>.</w:t>
      </w:r>
      <w:bookmarkEnd w:id="0"/>
      <w:r>
        <w:rPr>
          <w:rFonts w:ascii="Times New Roman" w:hAnsi="Times New Roman" w:eastAsia="宋体" w:cs="Times New Roman"/>
          <w:b/>
          <w:bCs/>
          <w:color w:val="auto"/>
          <w:kern w:val="0"/>
          <w:sz w:val="24"/>
          <w:szCs w:val="24"/>
        </w:rPr>
        <w:br w:type="textWrapping"/>
      </w:r>
      <w:r>
        <w:rPr>
          <w:rFonts w:ascii="Times New Roman" w:hAnsi="Times New Roman" w:eastAsia="宋体" w:cs="Times New Roman"/>
          <w:color w:val="auto"/>
          <w:kern w:val="0"/>
          <w:sz w:val="24"/>
          <w:szCs w:val="24"/>
        </w:rPr>
        <w:t xml:space="preserve">The assembly graphs were visualized from the GFA files using Bandage. Node labels indicate sequencing depth. The mitochondrial assembly graph supports the assembled mitochondrial genome representation, while also indicating that alternative </w:t>
      </w:r>
      <w:bookmarkStart w:id="1" w:name="_GoBack"/>
      <w:bookmarkEnd w:id="1"/>
      <w:r>
        <w:rPr>
          <w:rFonts w:ascii="Times New Roman" w:hAnsi="Times New Roman" w:eastAsia="宋体" w:cs="Times New Roman"/>
          <w:color w:val="auto"/>
          <w:kern w:val="0"/>
          <w:sz w:val="24"/>
          <w:szCs w:val="24"/>
        </w:rPr>
        <w:t>mitochondrial conformations cannot be completely excluded. The chloroplast assembly graph supports the assembled chloroplast genome sequence.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6A78F50-477C-483E-8ACA-6E6F221233CB}"/>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3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2026-06-21T02:39:59Z</dcterms:created>
  <dc:creator>12822</dc:creator>
  <cp:lastModifiedBy>云雀恭弥</cp:lastModifiedBy>
  <dcterms:modified xsi:type="dcterms:W3CDTF">2026-06-21T02:43:09Z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eyJoZGlkIjoiNjI5YmQxZjFiYTljNjk2MGY3N2UwNjJhN2I5MDI4MmYiLCJ1c2VySWQiOiIxNjgyODgzNDkyIn0=</vt:lpwstr>
  </property>
  <property fmtid="{D5CDD505-2E9C-101B-9397-08002B2CF9AE}" pid="4" name="ICV">
    <vt:lpwstr>12EA4DCCD6C6455AABF1F42C62571F25_12</vt:lpwstr>
  </property>
</Properties>
</file>