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A07E3">
      <w:pPr>
        <w:jc w:val="both"/>
        <w:rPr>
          <w:rFonts w:hint="eastAsia" w:eastAsiaTheme="minorEastAsia"/>
          <w:lang w:eastAsia="zh-CN"/>
        </w:rPr>
      </w:pPr>
      <w:r>
        <w:rPr>
          <w:rFonts w:hint="eastAsia" w:eastAsiaTheme="minorEastAsia"/>
          <w:lang w:eastAsia="zh-CN"/>
        </w:rPr>
        <w:drawing>
          <wp:inline distT="0" distB="0" distL="114300" distR="114300">
            <wp:extent cx="5273675" cy="2248535"/>
            <wp:effectExtent l="0" t="0" r="5080" b="7620"/>
            <wp:docPr id="1" name="Picture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 S1"/>
                    <pic:cNvPicPr>
                      <a:picLocks noChangeAspect="1"/>
                    </pic:cNvPicPr>
                  </pic:nvPicPr>
                  <pic:blipFill>
                    <a:blip r:embed="rId4"/>
                    <a:stretch>
                      <a:fillRect/>
                    </a:stretch>
                  </pic:blipFill>
                  <pic:spPr>
                    <a:xfrm>
                      <a:off x="0" y="0"/>
                      <a:ext cx="5273675" cy="2248535"/>
                    </a:xfrm>
                    <a:prstGeom prst="rect">
                      <a:avLst/>
                    </a:prstGeom>
                  </pic:spPr>
                </pic:pic>
              </a:graphicData>
            </a:graphic>
          </wp:inline>
        </w:drawing>
      </w:r>
    </w:p>
    <w:p w14:paraId="75634A98">
      <w:pPr>
        <w:snapToGrid w:val="0"/>
        <w:spacing w:before="60" w:after="60" w:line="360" w:lineRule="auto"/>
        <w:ind w:firstLine="360" w:firstLineChars="200"/>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Figure </w:t>
      </w:r>
      <w:r>
        <w:rPr>
          <w:rFonts w:hint="eastAsia" w:ascii="Times New Roman" w:hAnsi="Times New Roman" w:cs="Times New Roman"/>
          <w:sz w:val="18"/>
          <w:szCs w:val="18"/>
          <w:lang w:val="en-US" w:eastAsia="zh-CN"/>
        </w:rPr>
        <w:t>S1</w:t>
      </w:r>
      <w:r>
        <w:rPr>
          <w:rFonts w:hint="default" w:ascii="Times New Roman" w:hAnsi="Times New Roman" w:cs="Times New Roman"/>
          <w:sz w:val="18"/>
          <w:szCs w:val="18"/>
          <w:lang w:val="en-US" w:eastAsia="zh-CN"/>
        </w:rPr>
        <w:t xml:space="preserve">  </w:t>
      </w:r>
      <w:r>
        <w:rPr>
          <w:rFonts w:hint="eastAsia" w:ascii="Times New Roman" w:hAnsi="Times New Roman" w:cs="Times New Roman"/>
          <w:sz w:val="18"/>
          <w:szCs w:val="18"/>
          <w:lang w:val="en-US" w:eastAsia="zh-CN"/>
        </w:rPr>
        <w:t xml:space="preserve">The effect of MeJA treatment on the wax crystal structure of the upper and lower epidermis of alfalfa leaves. </w:t>
      </w:r>
      <w:r>
        <w:rPr>
          <w:rFonts w:hint="default" w:ascii="Times New Roman" w:hAnsi="Times New Roman"/>
          <w:sz w:val="18"/>
          <w:szCs w:val="18"/>
          <w:lang w:val="en-US" w:eastAsia="zh-CN"/>
        </w:rPr>
        <w:t xml:space="preserve">Scale bar = </w:t>
      </w:r>
      <w:r>
        <w:rPr>
          <w:rFonts w:hint="eastAsia" w:ascii="Times New Roman" w:hAnsi="Times New Roman"/>
          <w:sz w:val="18"/>
          <w:szCs w:val="18"/>
          <w:lang w:val="en-US" w:eastAsia="zh-CN"/>
        </w:rPr>
        <w:t>10</w:t>
      </w:r>
      <w:r>
        <w:rPr>
          <w:rFonts w:hint="default" w:ascii="Times New Roman" w:hAnsi="Times New Roman"/>
          <w:sz w:val="18"/>
          <w:szCs w:val="18"/>
          <w:lang w:val="en-US" w:eastAsia="zh-CN"/>
        </w:rPr>
        <w:t xml:space="preserve"> </w:t>
      </w:r>
      <w:r>
        <w:rPr>
          <w:rFonts w:hint="default" w:ascii="Times New Roman" w:hAnsi="Times New Roman" w:cs="Times New Roman"/>
          <w:sz w:val="18"/>
          <w:szCs w:val="18"/>
          <w:lang w:val="en-US" w:eastAsia="zh-CN"/>
        </w:rPr>
        <w:t>μm.</w:t>
      </w:r>
    </w:p>
    <w:p w14:paraId="04853178">
      <w:pPr>
        <w:snapToGrid w:val="0"/>
        <w:spacing w:before="60" w:after="60" w:line="360" w:lineRule="auto"/>
        <w:ind w:firstLine="360" w:firstLineChars="200"/>
        <w:rPr>
          <w:rFonts w:hint="default" w:ascii="Times New Roman" w:hAnsi="Times New Roman" w:cs="Times New Roman"/>
          <w:sz w:val="18"/>
          <w:szCs w:val="18"/>
          <w:lang w:val="en-US" w:eastAsia="zh-CN"/>
        </w:rPr>
      </w:pPr>
    </w:p>
    <w:p w14:paraId="55285CE7">
      <w:pPr>
        <w:snapToGrid w:val="0"/>
        <w:spacing w:before="60" w:after="60" w:line="360" w:lineRule="auto"/>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drawing>
          <wp:inline distT="0" distB="0" distL="114300" distR="114300">
            <wp:extent cx="5272405" cy="2808605"/>
            <wp:effectExtent l="0" t="0" r="6350" b="8890"/>
            <wp:docPr id="2" name="Picture 2"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 S2"/>
                    <pic:cNvPicPr>
                      <a:picLocks noChangeAspect="1"/>
                    </pic:cNvPicPr>
                  </pic:nvPicPr>
                  <pic:blipFill>
                    <a:blip r:embed="rId5"/>
                    <a:stretch>
                      <a:fillRect/>
                    </a:stretch>
                  </pic:blipFill>
                  <pic:spPr>
                    <a:xfrm>
                      <a:off x="0" y="0"/>
                      <a:ext cx="5272405" cy="2808605"/>
                    </a:xfrm>
                    <a:prstGeom prst="rect">
                      <a:avLst/>
                    </a:prstGeom>
                  </pic:spPr>
                </pic:pic>
              </a:graphicData>
            </a:graphic>
          </wp:inline>
        </w:drawing>
      </w:r>
    </w:p>
    <w:p w14:paraId="09EC3974">
      <w:pPr>
        <w:snapToGrid w:val="0"/>
        <w:spacing w:before="60" w:after="60" w:line="360" w:lineRule="auto"/>
        <w:ind w:firstLine="360" w:firstLineChars="200"/>
        <w:rPr>
          <w:rFonts w:hint="eastAsia" w:ascii="Times New Roman" w:hAnsi="Times New Roman"/>
          <w:sz w:val="18"/>
          <w:szCs w:val="18"/>
          <w:lang w:val="en-US" w:eastAsia="zh-CN"/>
        </w:rPr>
      </w:pPr>
      <w:r>
        <w:rPr>
          <w:rFonts w:hint="default" w:ascii="Times New Roman" w:hAnsi="Times New Roman" w:cs="Times New Roman"/>
          <w:sz w:val="18"/>
          <w:szCs w:val="18"/>
          <w:lang w:val="en-US" w:eastAsia="zh-CN"/>
        </w:rPr>
        <w:t xml:space="preserve">Figure </w:t>
      </w:r>
      <w:r>
        <w:rPr>
          <w:rFonts w:hint="eastAsia" w:ascii="Times New Roman" w:hAnsi="Times New Roman" w:cs="Times New Roman"/>
          <w:sz w:val="18"/>
          <w:szCs w:val="18"/>
          <w:lang w:val="en-US" w:eastAsia="zh-CN"/>
        </w:rPr>
        <w:t>S2</w:t>
      </w:r>
      <w:r>
        <w:rPr>
          <w:rFonts w:hint="default" w:ascii="Times New Roman" w:hAnsi="Times New Roman" w:cs="Times New Roman"/>
          <w:sz w:val="18"/>
          <w:szCs w:val="18"/>
          <w:lang w:val="en-US" w:eastAsia="zh-CN"/>
        </w:rPr>
        <w:t xml:space="preserve">  </w:t>
      </w:r>
      <w:r>
        <w:rPr>
          <w:rFonts w:hint="default" w:ascii="Times New Roman" w:hAnsi="Times New Roman"/>
          <w:sz w:val="18"/>
          <w:szCs w:val="18"/>
          <w:lang w:val="en-US" w:eastAsia="zh-CN"/>
        </w:rPr>
        <w:t>Metabolome analysis</w:t>
      </w:r>
      <w:r>
        <w:rPr>
          <w:rFonts w:hint="eastAsia" w:ascii="Times New Roman" w:hAnsi="Times New Roman"/>
          <w:sz w:val="18"/>
          <w:szCs w:val="18"/>
          <w:lang w:val="en-US" w:eastAsia="zh-CN"/>
        </w:rPr>
        <w:t>.</w:t>
      </w:r>
      <w:r>
        <w:rPr>
          <w:rFonts w:hint="default" w:ascii="Times New Roman" w:hAnsi="Times New Roman"/>
          <w:sz w:val="18"/>
          <w:szCs w:val="18"/>
          <w:lang w:val="en-US" w:eastAsia="zh-CN"/>
        </w:rPr>
        <w:t xml:space="preserve"> (A) Total cluster analysis of samples. Horizontal represents sample name, vertical represents metabolite information</w:t>
      </w:r>
      <w:r>
        <w:rPr>
          <w:rFonts w:hint="eastAsia" w:ascii="Times New Roman" w:hAnsi="Times New Roman"/>
          <w:sz w:val="18"/>
          <w:szCs w:val="18"/>
          <w:lang w:val="en-US" w:eastAsia="zh-CN"/>
        </w:rPr>
        <w:t>.</w:t>
      </w:r>
      <w:r>
        <w:rPr>
          <w:rFonts w:hint="default" w:ascii="Times New Roman" w:hAnsi="Times New Roman"/>
          <w:sz w:val="18"/>
          <w:szCs w:val="18"/>
          <w:lang w:val="en-US" w:eastAsia="zh-CN"/>
        </w:rPr>
        <w:t xml:space="preserve"> Group represents grouping, and different colors are filled with different values obtained after standardizing relative content (red represents high content, green represents low content).</w:t>
      </w:r>
      <w:r>
        <w:rPr>
          <w:rFonts w:hint="eastAsia" w:ascii="Times New Roman" w:hAnsi="Times New Roman"/>
          <w:sz w:val="18"/>
          <w:szCs w:val="18"/>
          <w:lang w:val="en-US" w:eastAsia="zh-CN"/>
        </w:rPr>
        <w:t xml:space="preserve"> (B) Composition of metabolite categories in a circular graph. Each color represents a different category of metabolites, and the size of the color blocks indicates the proportion of that category. (C) Principal component analysis (PCA) of samples. PC1 represents the first principal component, PC2 represents the second principal component, and the percentage represents the explanatory power of the principal component on the dataset; Each point in the figure represents a sample, and samples in the same group are represented by the same color. Group represents grouping.</w:t>
      </w:r>
    </w:p>
    <w:p w14:paraId="1DD8F065">
      <w:pPr>
        <w:snapToGrid w:val="0"/>
        <w:spacing w:before="60" w:after="60" w:line="360" w:lineRule="auto"/>
        <w:ind w:firstLine="360" w:firstLineChars="200"/>
        <w:rPr>
          <w:rFonts w:hint="eastAsia" w:ascii="Times New Roman" w:hAnsi="Times New Roman"/>
          <w:sz w:val="18"/>
          <w:szCs w:val="18"/>
          <w:lang w:val="en-US" w:eastAsia="zh-CN"/>
        </w:rPr>
      </w:pPr>
    </w:p>
    <w:p w14:paraId="27D7BE19">
      <w:pPr>
        <w:snapToGrid w:val="0"/>
        <w:spacing w:before="60" w:after="60" w:line="360" w:lineRule="auto"/>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drawing>
          <wp:inline distT="0" distB="0" distL="114300" distR="114300">
            <wp:extent cx="5300345" cy="1529715"/>
            <wp:effectExtent l="0" t="0" r="14605" b="13335"/>
            <wp:docPr id="7" name="图片 7"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 S3"/>
                    <pic:cNvPicPr>
                      <a:picLocks noChangeAspect="1"/>
                    </pic:cNvPicPr>
                  </pic:nvPicPr>
                  <pic:blipFill>
                    <a:blip r:embed="rId6"/>
                    <a:stretch>
                      <a:fillRect/>
                    </a:stretch>
                  </pic:blipFill>
                  <pic:spPr>
                    <a:xfrm>
                      <a:off x="0" y="0"/>
                      <a:ext cx="5300345" cy="1529715"/>
                    </a:xfrm>
                    <a:prstGeom prst="rect">
                      <a:avLst/>
                    </a:prstGeom>
                  </pic:spPr>
                </pic:pic>
              </a:graphicData>
            </a:graphic>
          </wp:inline>
        </w:drawing>
      </w:r>
    </w:p>
    <w:p w14:paraId="56ABCE4D">
      <w:pPr>
        <w:snapToGrid w:val="0"/>
        <w:spacing w:before="60" w:after="60" w:line="360" w:lineRule="auto"/>
        <w:ind w:firstLine="360" w:firstLineChars="200"/>
        <w:rPr>
          <w:rFonts w:hint="default" w:ascii="Times New Roman" w:hAnsi="Times New Roman"/>
          <w:sz w:val="18"/>
          <w:szCs w:val="18"/>
          <w:lang w:val="en-US" w:eastAsia="zh-CN"/>
        </w:rPr>
      </w:pPr>
      <w:r>
        <w:rPr>
          <w:rFonts w:hint="default" w:ascii="Times New Roman" w:hAnsi="Times New Roman"/>
          <w:sz w:val="18"/>
          <w:szCs w:val="18"/>
          <w:lang w:val="en-US" w:eastAsia="zh-CN"/>
        </w:rPr>
        <w:t>Figure S3</w:t>
      </w:r>
      <w:r>
        <w:rPr>
          <w:rFonts w:hint="eastAsia" w:ascii="Times New Roman" w:hAnsi="Times New Roman"/>
          <w:sz w:val="18"/>
          <w:szCs w:val="18"/>
          <w:lang w:val="en-US" w:eastAsia="zh-CN"/>
        </w:rPr>
        <w:t xml:space="preserve"> </w:t>
      </w:r>
      <w:r>
        <w:rPr>
          <w:rFonts w:hint="default" w:ascii="Times New Roman" w:hAnsi="Times New Roman"/>
          <w:sz w:val="18"/>
          <w:szCs w:val="18"/>
          <w:lang w:val="en-US" w:eastAsia="zh-CN"/>
        </w:rPr>
        <w:t xml:space="preserve"> Joint analysis of transcriptome and metabolome of each comparative group. The horizontal axis represents the number of DAMs and DEGs enriched in the pathway, and the vertical axis represents the pathway name. Red and green represent metabolome and transcriptome, respectively.</w:t>
      </w:r>
    </w:p>
    <w:p w14:paraId="41A4BD62">
      <w:pPr>
        <w:snapToGrid w:val="0"/>
        <w:spacing w:before="60" w:after="60" w:line="360" w:lineRule="auto"/>
        <w:ind w:firstLine="360" w:firstLineChars="200"/>
        <w:rPr>
          <w:rFonts w:hint="default" w:ascii="Times New Roman" w:hAnsi="Times New Roman"/>
          <w:sz w:val="18"/>
          <w:szCs w:val="18"/>
          <w:lang w:val="en-US" w:eastAsia="zh-CN"/>
        </w:rPr>
      </w:pPr>
    </w:p>
    <w:p w14:paraId="137CDE4D">
      <w:pPr>
        <w:snapToGrid w:val="0"/>
        <w:spacing w:before="60" w:after="60" w:line="360" w:lineRule="auto"/>
        <w:jc w:val="center"/>
        <w:rPr>
          <w:rFonts w:hint="default" w:ascii="Times New Roman" w:hAnsi="Times New Roman"/>
          <w:sz w:val="18"/>
          <w:szCs w:val="18"/>
          <w:lang w:val="en-US" w:eastAsia="zh-CN"/>
        </w:rPr>
      </w:pPr>
      <w:r>
        <w:rPr>
          <w:rFonts w:hint="default" w:ascii="Times New Roman" w:hAnsi="Times New Roman"/>
          <w:sz w:val="18"/>
          <w:szCs w:val="18"/>
          <w:lang w:val="en-US" w:eastAsia="zh-CN"/>
        </w:rPr>
        <w:drawing>
          <wp:inline distT="0" distB="0" distL="114300" distR="114300">
            <wp:extent cx="5170170" cy="2583815"/>
            <wp:effectExtent l="0" t="0" r="11430" b="6985"/>
            <wp:docPr id="8" name="图片 8"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4"/>
                    <pic:cNvPicPr>
                      <a:picLocks noChangeAspect="1"/>
                    </pic:cNvPicPr>
                  </pic:nvPicPr>
                  <pic:blipFill>
                    <a:blip r:embed="rId7"/>
                    <a:stretch>
                      <a:fillRect/>
                    </a:stretch>
                  </pic:blipFill>
                  <pic:spPr>
                    <a:xfrm>
                      <a:off x="0" y="0"/>
                      <a:ext cx="5170170" cy="2583815"/>
                    </a:xfrm>
                    <a:prstGeom prst="rect">
                      <a:avLst/>
                    </a:prstGeom>
                  </pic:spPr>
                </pic:pic>
              </a:graphicData>
            </a:graphic>
          </wp:inline>
        </w:drawing>
      </w:r>
    </w:p>
    <w:p w14:paraId="6D716DE5">
      <w:pPr>
        <w:snapToGrid w:val="0"/>
        <w:spacing w:before="60" w:after="60" w:line="360" w:lineRule="auto"/>
        <w:ind w:firstLine="360" w:firstLineChars="200"/>
        <w:rPr>
          <w:rFonts w:hint="default" w:ascii="Times New Roman" w:hAnsi="Times New Roman"/>
          <w:sz w:val="18"/>
          <w:szCs w:val="18"/>
          <w:lang w:val="en-US" w:eastAsia="zh-CN"/>
        </w:rPr>
      </w:pPr>
      <w:r>
        <w:rPr>
          <w:rFonts w:hint="default" w:ascii="Times New Roman" w:hAnsi="Times New Roman"/>
          <w:sz w:val="18"/>
          <w:szCs w:val="18"/>
          <w:lang w:val="en-US" w:eastAsia="zh-CN"/>
        </w:rPr>
        <w:t>Figure S4</w:t>
      </w:r>
      <w:r>
        <w:rPr>
          <w:rFonts w:hint="eastAsia" w:ascii="Times New Roman" w:hAnsi="Times New Roman"/>
          <w:sz w:val="18"/>
          <w:szCs w:val="18"/>
          <w:lang w:val="en-US" w:eastAsia="zh-CN"/>
        </w:rPr>
        <w:t xml:space="preserve"> </w:t>
      </w:r>
      <w:r>
        <w:rPr>
          <w:rFonts w:hint="default" w:ascii="Times New Roman" w:hAnsi="Times New Roman"/>
          <w:sz w:val="18"/>
          <w:szCs w:val="18"/>
          <w:lang w:val="en-US" w:eastAsia="zh-CN"/>
        </w:rPr>
        <w:t xml:space="preserve"> The expression levels of key genes were verified using qRT-PCR technology.</w:t>
      </w:r>
    </w:p>
    <w:p w14:paraId="3F139DC0">
      <w:pPr>
        <w:snapToGrid w:val="0"/>
        <w:spacing w:before="60" w:after="60" w:line="360" w:lineRule="auto"/>
        <w:ind w:firstLine="360" w:firstLineChars="200"/>
        <w:rPr>
          <w:rFonts w:hint="default" w:ascii="Times New Roman" w:hAnsi="Times New Roman"/>
          <w:sz w:val="18"/>
          <w:szCs w:val="18"/>
          <w:lang w:val="en-US" w:eastAsia="zh-CN"/>
        </w:rPr>
      </w:pPr>
    </w:p>
    <w:p w14:paraId="19A0B757">
      <w:pPr>
        <w:snapToGrid w:val="0"/>
        <w:spacing w:before="60" w:after="60" w:line="360" w:lineRule="auto"/>
        <w:jc w:val="center"/>
        <w:rPr>
          <w:rFonts w:hint="default" w:ascii="Times New Roman" w:hAnsi="Times New Roman"/>
          <w:sz w:val="18"/>
          <w:szCs w:val="18"/>
          <w:lang w:val="en-US" w:eastAsia="zh-CN"/>
        </w:rPr>
      </w:pPr>
      <w:r>
        <w:rPr>
          <w:rFonts w:hint="default" w:ascii="Times New Roman" w:hAnsi="Times New Roman"/>
          <w:sz w:val="18"/>
          <w:szCs w:val="18"/>
          <w:lang w:val="en-US" w:eastAsia="zh-CN"/>
        </w:rPr>
        <w:drawing>
          <wp:inline distT="0" distB="0" distL="114300" distR="114300">
            <wp:extent cx="3524250" cy="2275840"/>
            <wp:effectExtent l="0" t="0" r="0" b="10160"/>
            <wp:docPr id="5" name="Picture 5"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 S5"/>
                    <pic:cNvPicPr>
                      <a:picLocks noChangeAspect="1"/>
                    </pic:cNvPicPr>
                  </pic:nvPicPr>
                  <pic:blipFill>
                    <a:blip r:embed="rId8"/>
                    <a:stretch>
                      <a:fillRect/>
                    </a:stretch>
                  </pic:blipFill>
                  <pic:spPr>
                    <a:xfrm>
                      <a:off x="0" y="0"/>
                      <a:ext cx="3524250" cy="2275840"/>
                    </a:xfrm>
                    <a:prstGeom prst="rect">
                      <a:avLst/>
                    </a:prstGeom>
                  </pic:spPr>
                </pic:pic>
              </a:graphicData>
            </a:graphic>
          </wp:inline>
        </w:drawing>
      </w:r>
    </w:p>
    <w:p w14:paraId="3AA09A5E">
      <w:pPr>
        <w:snapToGrid w:val="0"/>
        <w:spacing w:before="60" w:after="60" w:line="360" w:lineRule="auto"/>
        <w:ind w:firstLine="360" w:firstLineChars="200"/>
        <w:jc w:val="both"/>
        <w:rPr>
          <w:rFonts w:hint="eastAsia" w:ascii="Times New Roman" w:hAnsi="Times New Roman"/>
          <w:sz w:val="18"/>
          <w:szCs w:val="18"/>
          <w:lang w:val="en-US" w:eastAsia="zh-CN"/>
        </w:rPr>
      </w:pPr>
      <w:r>
        <w:rPr>
          <w:rFonts w:hint="default" w:ascii="Times New Roman" w:hAnsi="Times New Roman" w:cs="Times New Roman"/>
          <w:sz w:val="18"/>
          <w:szCs w:val="18"/>
          <w:lang w:val="en-US" w:eastAsia="zh-CN"/>
        </w:rPr>
        <w:t>Figure S</w:t>
      </w:r>
      <w:r>
        <w:rPr>
          <w:rFonts w:hint="eastAsia" w:ascii="Times New Roman" w:hAnsi="Times New Roman" w:cs="Times New Roman"/>
          <w:sz w:val="18"/>
          <w:szCs w:val="18"/>
          <w:lang w:val="en-US" w:eastAsia="zh-CN"/>
        </w:rPr>
        <w:t xml:space="preserve">5 </w:t>
      </w:r>
      <w:r>
        <w:rPr>
          <w:rFonts w:hint="default" w:ascii="Times New Roman" w:hAnsi="Times New Roman" w:cs="Times New Roman"/>
          <w:sz w:val="18"/>
          <w:szCs w:val="18"/>
          <w:lang w:val="en-US" w:eastAsia="zh-CN"/>
        </w:rPr>
        <w:t xml:space="preserve"> </w:t>
      </w:r>
      <w:r>
        <w:rPr>
          <w:rFonts w:hint="eastAsia" w:ascii="Times New Roman" w:hAnsi="Times New Roman" w:cs="Times New Roman"/>
          <w:sz w:val="18"/>
          <w:szCs w:val="18"/>
          <w:lang w:val="en-US" w:eastAsia="zh-CN"/>
        </w:rPr>
        <w:t>The relationship between phenylpropanoid DEGs and transcription factors (TFs). |PCC| ＞ 0.98， DEGs are marked with orange circles and TFs are marked with squares. The solid line indicates a positive correlation between the two, while the dashed line indicates a negative correlation.</w:t>
      </w:r>
      <w:r>
        <w:rPr>
          <w:rFonts w:hint="eastAsia" w:ascii="Times New Roman" w:hAnsi="Times New Roman"/>
          <w:sz w:val="18"/>
          <w:szCs w:val="18"/>
          <w:lang w:val="en-US" w:eastAsia="zh-CN"/>
        </w:rPr>
        <w:drawing>
          <wp:inline distT="0" distB="0" distL="114300" distR="114300">
            <wp:extent cx="5271135" cy="2609850"/>
            <wp:effectExtent l="0" t="0" r="5715" b="0"/>
            <wp:docPr id="6" name="图片 6"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6"/>
                    <pic:cNvPicPr>
                      <a:picLocks noChangeAspect="1"/>
                    </pic:cNvPicPr>
                  </pic:nvPicPr>
                  <pic:blipFill>
                    <a:blip r:embed="rId9"/>
                    <a:stretch>
                      <a:fillRect/>
                    </a:stretch>
                  </pic:blipFill>
                  <pic:spPr>
                    <a:xfrm>
                      <a:off x="0" y="0"/>
                      <a:ext cx="5271135" cy="2609850"/>
                    </a:xfrm>
                    <a:prstGeom prst="rect">
                      <a:avLst/>
                    </a:prstGeom>
                  </pic:spPr>
                </pic:pic>
              </a:graphicData>
            </a:graphic>
          </wp:inline>
        </w:drawing>
      </w:r>
    </w:p>
    <w:p w14:paraId="51CC911A">
      <w:pPr>
        <w:snapToGrid w:val="0"/>
        <w:spacing w:before="60" w:after="60" w:line="360" w:lineRule="auto"/>
        <w:ind w:firstLine="360" w:firstLineChars="200"/>
        <w:rPr>
          <w:rFonts w:hint="default" w:ascii="Times New Roman" w:hAnsi="Times New Roman" w:cs="Times New Roman"/>
          <w:sz w:val="18"/>
          <w:szCs w:val="18"/>
          <w:lang w:val="en-US" w:eastAsia="zh-CN"/>
        </w:rPr>
      </w:pPr>
      <w:r>
        <w:rPr>
          <w:rFonts w:hint="default" w:ascii="Times New Roman" w:hAnsi="Times New Roman"/>
          <w:sz w:val="18"/>
          <w:szCs w:val="18"/>
          <w:lang w:val="en-US" w:eastAsia="zh-CN"/>
        </w:rPr>
        <w:t>Figure S</w:t>
      </w:r>
      <w:r>
        <w:rPr>
          <w:rFonts w:hint="eastAsia" w:ascii="Times New Roman" w:hAnsi="Times New Roman"/>
          <w:sz w:val="18"/>
          <w:szCs w:val="18"/>
          <w:lang w:val="en-US" w:eastAsia="zh-CN"/>
        </w:rPr>
        <w:t>6  Isoflavone glycosylation process. (A) Reaction formula for glycosylation process (daidzein, genistein, and formononetin). (B) Box plots show the relative content of phenylpropanoid pathway metabolites (metabolites involved i</w:t>
      </w:r>
      <w:bookmarkStart w:id="0" w:name="_GoBack"/>
      <w:bookmarkEnd w:id="0"/>
      <w:r>
        <w:rPr>
          <w:rFonts w:hint="eastAsia" w:ascii="Times New Roman" w:hAnsi="Times New Roman"/>
          <w:sz w:val="18"/>
          <w:szCs w:val="18"/>
          <w:lang w:val="en-US" w:eastAsia="zh-CN"/>
        </w:rPr>
        <w:t>n the glycosylation process of isoflavones) in alfalfa after CK and MeJA treatments. T-test was used for inter-group statistical analysis.</w:t>
      </w:r>
      <w:r>
        <w:rPr>
          <w:rFonts w:hint="default" w:ascii="Times New Roman" w:hAnsi="Times New Roman" w:cs="Times New Roman"/>
          <w:sz w:val="18"/>
          <w:szCs w:val="18"/>
          <w:lang w:val="en-US" w:eastAsia="zh-CN"/>
        </w:rPr>
        <w:t xml:space="preserve"> ns represented </w:t>
      </w:r>
      <w:r>
        <w:rPr>
          <w:rFonts w:hint="default" w:ascii="Times New Roman" w:hAnsi="Times New Roman" w:cs="Times New Roman"/>
          <w:i/>
          <w:iCs/>
          <w:sz w:val="18"/>
          <w:szCs w:val="18"/>
          <w:lang w:val="en-US" w:eastAsia="zh-CN"/>
        </w:rPr>
        <w:t>P</w:t>
      </w:r>
      <w:r>
        <w:rPr>
          <w:rFonts w:hint="default" w:ascii="Times New Roman" w:hAnsi="Times New Roman" w:cs="Times New Roman"/>
          <w:sz w:val="18"/>
          <w:szCs w:val="18"/>
          <w:lang w:val="en-US" w:eastAsia="zh-CN"/>
        </w:rPr>
        <w:t xml:space="preserve"> &gt; 0.05, * represented </w:t>
      </w:r>
      <w:r>
        <w:rPr>
          <w:rFonts w:hint="default" w:ascii="Times New Roman" w:hAnsi="Times New Roman" w:cs="Times New Roman"/>
          <w:i/>
          <w:iCs/>
          <w:sz w:val="18"/>
          <w:szCs w:val="18"/>
          <w:lang w:val="en-US" w:eastAsia="zh-CN"/>
        </w:rPr>
        <w:t>P</w:t>
      </w:r>
      <w:r>
        <w:rPr>
          <w:rFonts w:hint="default" w:ascii="Times New Roman" w:hAnsi="Times New Roman" w:cs="Times New Roman"/>
          <w:sz w:val="18"/>
          <w:szCs w:val="18"/>
          <w:lang w:val="en-US" w:eastAsia="zh-CN"/>
        </w:rPr>
        <w:t xml:space="preserve"> &lt; 0.05, ** represented </w:t>
      </w:r>
      <w:r>
        <w:rPr>
          <w:rFonts w:hint="default" w:ascii="Times New Roman" w:hAnsi="Times New Roman" w:cs="Times New Roman"/>
          <w:i/>
          <w:iCs/>
          <w:sz w:val="18"/>
          <w:szCs w:val="18"/>
          <w:lang w:val="en-US" w:eastAsia="zh-CN"/>
        </w:rPr>
        <w:t>P</w:t>
      </w:r>
      <w:r>
        <w:rPr>
          <w:rFonts w:hint="default" w:ascii="Times New Roman" w:hAnsi="Times New Roman" w:cs="Times New Roman"/>
          <w:sz w:val="18"/>
          <w:szCs w:val="18"/>
          <w:lang w:val="en-US" w:eastAsia="zh-CN"/>
        </w:rPr>
        <w:t xml:space="preserve"> &lt; 0.01, and *** represented </w:t>
      </w:r>
      <w:r>
        <w:rPr>
          <w:rFonts w:hint="default" w:ascii="Times New Roman" w:hAnsi="Times New Roman" w:cs="Times New Roman"/>
          <w:i/>
          <w:iCs/>
          <w:sz w:val="18"/>
          <w:szCs w:val="18"/>
          <w:lang w:val="en-US" w:eastAsia="zh-CN"/>
        </w:rPr>
        <w:t>P</w:t>
      </w:r>
      <w:r>
        <w:rPr>
          <w:rFonts w:hint="default" w:ascii="Times New Roman" w:hAnsi="Times New Roman" w:cs="Times New Roman"/>
          <w:sz w:val="18"/>
          <w:szCs w:val="18"/>
          <w:lang w:val="en-US" w:eastAsia="zh-CN"/>
        </w:rPr>
        <w:t xml:space="preserve"> &lt; 0.001.</w:t>
      </w:r>
    </w:p>
    <w:p w14:paraId="08F75D82">
      <w:pPr>
        <w:snapToGrid w:val="0"/>
        <w:spacing w:before="60" w:after="60" w:line="360" w:lineRule="auto"/>
        <w:ind w:firstLine="360" w:firstLineChars="200"/>
        <w:rPr>
          <w:rFonts w:hint="default" w:ascii="Times New Roman" w:hAnsi="Times New Roman"/>
          <w:sz w:val="18"/>
          <w:szCs w:val="18"/>
          <w:lang w:val="en-US" w:eastAsia="zh-CN"/>
        </w:rPr>
      </w:pPr>
    </w:p>
    <w:p w14:paraId="53AD2DB8">
      <w:pPr>
        <w:snapToGrid w:val="0"/>
        <w:spacing w:before="60" w:after="60" w:line="360" w:lineRule="auto"/>
        <w:ind w:firstLine="360" w:firstLineChars="200"/>
        <w:rPr>
          <w:rFonts w:hint="default" w:ascii="Times New Roman" w:hAnsi="Times New Roman"/>
          <w:sz w:val="18"/>
          <w:szCs w:val="18"/>
          <w:lang w:val="en-US" w:eastAsia="zh-CN"/>
        </w:rPr>
      </w:pPr>
    </w:p>
    <w:p w14:paraId="03BE54B2">
      <w:pPr>
        <w:snapToGrid w:val="0"/>
        <w:spacing w:before="60" w:after="60" w:line="360" w:lineRule="auto"/>
        <w:ind w:firstLine="360" w:firstLineChars="200"/>
        <w:rPr>
          <w:rFonts w:hint="default" w:ascii="Times New Roman" w:hAnsi="Times New Roman" w:cs="Times New Roman"/>
          <w:sz w:val="18"/>
          <w:szCs w:val="18"/>
          <w:lang w:val="en-US" w:eastAsia="zh-CN"/>
        </w:rPr>
      </w:pPr>
    </w:p>
    <w:p w14:paraId="4931587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57997"/>
    <w:rsid w:val="05B824F4"/>
    <w:rsid w:val="06372373"/>
    <w:rsid w:val="07373DFF"/>
    <w:rsid w:val="15C20F59"/>
    <w:rsid w:val="18754A9F"/>
    <w:rsid w:val="1BA45BF2"/>
    <w:rsid w:val="20757997"/>
    <w:rsid w:val="208D63E6"/>
    <w:rsid w:val="26DE4854"/>
    <w:rsid w:val="2B6A7A33"/>
    <w:rsid w:val="346516FC"/>
    <w:rsid w:val="358D148A"/>
    <w:rsid w:val="3B1D4729"/>
    <w:rsid w:val="3E35213F"/>
    <w:rsid w:val="431E13F4"/>
    <w:rsid w:val="46A11600"/>
    <w:rsid w:val="50D15CF8"/>
    <w:rsid w:val="5237602E"/>
    <w:rsid w:val="601D2E7A"/>
    <w:rsid w:val="604D3D17"/>
    <w:rsid w:val="63251ED3"/>
    <w:rsid w:val="64FA2A38"/>
    <w:rsid w:val="67C27CF0"/>
    <w:rsid w:val="680D5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323</Words>
  <Characters>1871</Characters>
  <Lines>0</Lines>
  <Paragraphs>0</Paragraphs>
  <TotalTime>12</TotalTime>
  <ScaleCrop>false</ScaleCrop>
  <LinksUpToDate>false</LinksUpToDate>
  <CharactersWithSpaces>2193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2025-11-17T06:47:00Z</dcterms:created>
  <dc:creator>失忆の国度</dc:creator>
  <cp:lastModifiedBy>失忆の国度</cp:lastModifiedBy>
  <dcterms:modified xsi:type="dcterms:W3CDTF">2026-05-13T08:45:33Z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E90AFEC2601A42EF93E9277D23066159_11</vt:lpwstr>
  </property>
  <property fmtid="{D5CDD505-2E9C-101B-9397-08002B2CF9AE}" pid="4" name="KSOTemplateDocerSaveRecord">
    <vt:lpwstr>eyJoZGlkIjoiMDBmNzRiNTZkMTM3YzMxZDAwNGY1NzkyNWE4ZTU5ZjkiLCJ1c2VySWQiOiIyNDgyNzg1NzcifQ==</vt:lpwstr>
  </property>
</Properties>
</file>