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8D131A" w14:textId="34158EF0" w:rsidR="008D4480" w:rsidRDefault="00970321" w:rsidP="009F0396">
      <w:pPr>
        <w:jc w:val="center"/>
      </w:pPr>
      <w:r>
        <w:rPr>
          <w:noProof/>
        </w:rPr>
        <w:drawing>
          <wp:inline distT="0" distB="0" distL="0" distR="0" wp14:anchorId="3A1949BB" wp14:editId="06603776">
            <wp:extent cx="4838700" cy="7772400"/>
            <wp:effectExtent l="0" t="0" r="0" b="0"/>
            <wp:docPr id="1491863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863498" name="Picture 14918634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5A7A4" w14:textId="1B253CF2" w:rsidR="009022C9" w:rsidRPr="00A66890" w:rsidRDefault="009022C9" w:rsidP="00A66890">
      <w:pPr>
        <w:pStyle w:val="NormalWeb"/>
        <w:rPr>
          <w:sz w:val="20"/>
          <w:szCs w:val="20"/>
        </w:rPr>
      </w:pPr>
      <w:r w:rsidRPr="009022C9">
        <w:rPr>
          <w:b/>
          <w:bCs/>
          <w:sz w:val="20"/>
          <w:szCs w:val="20"/>
        </w:rPr>
        <w:lastRenderedPageBreak/>
        <w:t xml:space="preserve">Supplementary Fig. S1. </w:t>
      </w:r>
      <w:r w:rsidRPr="0089619F">
        <w:rPr>
          <w:sz w:val="20"/>
          <w:szCs w:val="20"/>
        </w:rPr>
        <w:t xml:space="preserve">Circular Manhattan and Q–Q plots for selected wood and biomass-related traits in the </w:t>
      </w:r>
      <w:r w:rsidRPr="0089619F">
        <w:rPr>
          <w:i/>
          <w:iCs/>
          <w:sz w:val="20"/>
          <w:szCs w:val="20"/>
        </w:rPr>
        <w:t>Hevea brasiliensis</w:t>
      </w:r>
      <w:r w:rsidRPr="0089619F">
        <w:rPr>
          <w:sz w:val="20"/>
          <w:szCs w:val="20"/>
        </w:rPr>
        <w:t xml:space="preserve"> association panel.</w:t>
      </w:r>
      <w:r w:rsidRPr="009022C9">
        <w:rPr>
          <w:sz w:val="20"/>
          <w:szCs w:val="20"/>
        </w:rPr>
        <w:t xml:space="preserve"> (A) </w:t>
      </w:r>
      <w:r w:rsidR="002D1A28">
        <w:rPr>
          <w:sz w:val="20"/>
          <w:szCs w:val="20"/>
        </w:rPr>
        <w:t>Nitrogen</w:t>
      </w:r>
      <w:r w:rsidRPr="009022C9">
        <w:rPr>
          <w:sz w:val="20"/>
          <w:szCs w:val="20"/>
        </w:rPr>
        <w:t xml:space="preserve">, (B) </w:t>
      </w:r>
      <w:r w:rsidR="0089619F">
        <w:rPr>
          <w:sz w:val="20"/>
          <w:szCs w:val="20"/>
        </w:rPr>
        <w:t>wood density</w:t>
      </w:r>
      <w:r w:rsidRPr="009022C9">
        <w:rPr>
          <w:sz w:val="20"/>
          <w:szCs w:val="20"/>
        </w:rPr>
        <w:t xml:space="preserve">, and (C) </w:t>
      </w:r>
      <w:r w:rsidR="0089619F">
        <w:rPr>
          <w:sz w:val="20"/>
          <w:szCs w:val="20"/>
        </w:rPr>
        <w:t>m</w:t>
      </w:r>
      <w:r w:rsidR="0089619F" w:rsidRPr="0035383E">
        <w:rPr>
          <w:sz w:val="20"/>
          <w:szCs w:val="20"/>
        </w:rPr>
        <w:t>odulus of elasticity</w:t>
      </w:r>
      <w:r w:rsidRPr="009022C9">
        <w:rPr>
          <w:sz w:val="20"/>
          <w:szCs w:val="20"/>
        </w:rPr>
        <w:t xml:space="preserve">. GWAS was performed using GLM, MLM, CMLM, FarmCPU, and BLINK. Genome-wide significant associations were defined as </w:t>
      </w:r>
      <w:r w:rsidRPr="009022C9">
        <w:rPr>
          <w:i/>
          <w:iCs/>
          <w:sz w:val="20"/>
          <w:szCs w:val="20"/>
        </w:rPr>
        <w:t>P</w:t>
      </w:r>
      <w:r w:rsidRPr="009022C9">
        <w:rPr>
          <w:sz w:val="20"/>
          <w:szCs w:val="20"/>
        </w:rPr>
        <w:t xml:space="preserve"> &lt; 2.06 × 10⁻⁶ [−log₁₀(</w:t>
      </w:r>
      <w:r w:rsidRPr="009022C9">
        <w:rPr>
          <w:i/>
          <w:iCs/>
          <w:sz w:val="20"/>
          <w:szCs w:val="20"/>
        </w:rPr>
        <w:t>P</w:t>
      </w:r>
      <w:r w:rsidRPr="009022C9">
        <w:rPr>
          <w:sz w:val="20"/>
          <w:szCs w:val="20"/>
        </w:rPr>
        <w:t>) &gt; 5.69], whereas associations with −log₁₀(</w:t>
      </w:r>
      <w:r w:rsidRPr="009022C9">
        <w:rPr>
          <w:i/>
          <w:iCs/>
          <w:sz w:val="20"/>
          <w:szCs w:val="20"/>
        </w:rPr>
        <w:t>P</w:t>
      </w:r>
      <w:r w:rsidRPr="009022C9">
        <w:rPr>
          <w:sz w:val="20"/>
          <w:szCs w:val="20"/>
        </w:rPr>
        <w:t>) &gt; 4.0 but below the Bonferroni threshold were considered suggestive.</w:t>
      </w:r>
    </w:p>
    <w:p w14:paraId="0DCAACA0" w14:textId="37CCA34B" w:rsidR="00DF7EE1" w:rsidRPr="00B22790" w:rsidRDefault="00A66890" w:rsidP="00B22790">
      <w:pPr>
        <w:jc w:val="center"/>
      </w:pPr>
      <w:r>
        <w:rPr>
          <w:noProof/>
        </w:rPr>
        <w:drawing>
          <wp:inline distT="0" distB="0" distL="0" distR="0" wp14:anchorId="29CC4EB7" wp14:editId="7F279454">
            <wp:extent cx="4495800" cy="5194300"/>
            <wp:effectExtent l="0" t="0" r="0" b="0"/>
            <wp:docPr id="4670946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094611" name="Picture 4670946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19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9E3E1" w14:textId="42D41DA1" w:rsidR="00E97C06" w:rsidRPr="00A66890" w:rsidRDefault="00E97C06" w:rsidP="00E97C06">
      <w:pPr>
        <w:pStyle w:val="NormalWeb"/>
        <w:rPr>
          <w:sz w:val="20"/>
          <w:szCs w:val="20"/>
        </w:rPr>
      </w:pPr>
      <w:r w:rsidRPr="009022C9">
        <w:rPr>
          <w:b/>
          <w:bCs/>
          <w:sz w:val="20"/>
          <w:szCs w:val="20"/>
        </w:rPr>
        <w:t>Supplementary Fig. S</w:t>
      </w:r>
      <w:r>
        <w:rPr>
          <w:b/>
          <w:bCs/>
          <w:sz w:val="20"/>
          <w:szCs w:val="20"/>
        </w:rPr>
        <w:t>2</w:t>
      </w:r>
      <w:r w:rsidRPr="009022C9">
        <w:rPr>
          <w:b/>
          <w:bCs/>
          <w:sz w:val="20"/>
          <w:szCs w:val="20"/>
        </w:rPr>
        <w:t xml:space="preserve">. </w:t>
      </w:r>
      <w:r w:rsidRPr="0089619F">
        <w:rPr>
          <w:sz w:val="20"/>
          <w:szCs w:val="20"/>
        </w:rPr>
        <w:t xml:space="preserve">Circular Manhattan and Q–Q plots for selected wood and biomass-related traits in the </w:t>
      </w:r>
      <w:r w:rsidRPr="0089619F">
        <w:rPr>
          <w:i/>
          <w:iCs/>
          <w:sz w:val="20"/>
          <w:szCs w:val="20"/>
        </w:rPr>
        <w:t>Hevea brasiliensis</w:t>
      </w:r>
      <w:r w:rsidRPr="0089619F">
        <w:rPr>
          <w:sz w:val="20"/>
          <w:szCs w:val="20"/>
        </w:rPr>
        <w:t xml:space="preserve"> association panel.</w:t>
      </w:r>
      <w:r w:rsidRPr="009022C9">
        <w:rPr>
          <w:sz w:val="20"/>
          <w:szCs w:val="20"/>
        </w:rPr>
        <w:t xml:space="preserve"> (</w:t>
      </w:r>
      <w:r w:rsidR="00B73B18">
        <w:rPr>
          <w:sz w:val="20"/>
          <w:szCs w:val="20"/>
        </w:rPr>
        <w:t>D</w:t>
      </w:r>
      <w:r w:rsidRPr="009022C9">
        <w:rPr>
          <w:sz w:val="20"/>
          <w:szCs w:val="20"/>
        </w:rPr>
        <w:t xml:space="preserve">) </w:t>
      </w:r>
      <w:r w:rsidR="002F10B3">
        <w:rPr>
          <w:sz w:val="20"/>
          <w:szCs w:val="20"/>
        </w:rPr>
        <w:t>lignin (ADL)</w:t>
      </w:r>
      <w:r w:rsidR="00B73B18">
        <w:rPr>
          <w:sz w:val="20"/>
          <w:szCs w:val="20"/>
        </w:rPr>
        <w:t xml:space="preserve"> and </w:t>
      </w:r>
      <w:r w:rsidRPr="009022C9">
        <w:rPr>
          <w:sz w:val="20"/>
          <w:szCs w:val="20"/>
        </w:rPr>
        <w:t>(</w:t>
      </w:r>
      <w:r w:rsidR="00B73B18">
        <w:rPr>
          <w:sz w:val="20"/>
          <w:szCs w:val="20"/>
        </w:rPr>
        <w:t>E</w:t>
      </w:r>
      <w:r w:rsidRPr="009022C9">
        <w:rPr>
          <w:sz w:val="20"/>
          <w:szCs w:val="20"/>
        </w:rPr>
        <w:t xml:space="preserve">) </w:t>
      </w:r>
      <w:r w:rsidR="00B73B18">
        <w:rPr>
          <w:sz w:val="20"/>
          <w:szCs w:val="20"/>
        </w:rPr>
        <w:t>m</w:t>
      </w:r>
      <w:r w:rsidR="00B73B18" w:rsidRPr="00791C65">
        <w:rPr>
          <w:sz w:val="20"/>
          <w:szCs w:val="20"/>
        </w:rPr>
        <w:t>odulus of rupture</w:t>
      </w:r>
      <w:r w:rsidR="00B73B18">
        <w:rPr>
          <w:sz w:val="20"/>
          <w:szCs w:val="20"/>
        </w:rPr>
        <w:t xml:space="preserve"> (MOR</w:t>
      </w:r>
      <w:r w:rsidR="00B22790">
        <w:rPr>
          <w:sz w:val="20"/>
          <w:szCs w:val="20"/>
        </w:rPr>
        <w:t>)</w:t>
      </w:r>
      <w:r w:rsidRPr="009022C9">
        <w:rPr>
          <w:sz w:val="20"/>
          <w:szCs w:val="20"/>
        </w:rPr>
        <w:t xml:space="preserve">. GWAS was performed using GLM, MLM, CMLM, FarmCPU, and BLINK. Genome-wide significant associations were defined as </w:t>
      </w:r>
      <w:r w:rsidRPr="009022C9">
        <w:rPr>
          <w:i/>
          <w:iCs/>
          <w:sz w:val="20"/>
          <w:szCs w:val="20"/>
        </w:rPr>
        <w:t>P</w:t>
      </w:r>
      <w:r w:rsidRPr="009022C9">
        <w:rPr>
          <w:sz w:val="20"/>
          <w:szCs w:val="20"/>
        </w:rPr>
        <w:t xml:space="preserve"> &lt; 2.06 × 10⁻⁶ [−log₁₀(</w:t>
      </w:r>
      <w:r w:rsidRPr="009022C9">
        <w:rPr>
          <w:i/>
          <w:iCs/>
          <w:sz w:val="20"/>
          <w:szCs w:val="20"/>
        </w:rPr>
        <w:t>P</w:t>
      </w:r>
      <w:r w:rsidRPr="009022C9">
        <w:rPr>
          <w:sz w:val="20"/>
          <w:szCs w:val="20"/>
        </w:rPr>
        <w:t>) &gt; 5.69], whereas associations with −log₁₀(</w:t>
      </w:r>
      <w:r w:rsidRPr="009022C9">
        <w:rPr>
          <w:i/>
          <w:iCs/>
          <w:sz w:val="20"/>
          <w:szCs w:val="20"/>
        </w:rPr>
        <w:t>P</w:t>
      </w:r>
      <w:r w:rsidRPr="009022C9">
        <w:rPr>
          <w:sz w:val="20"/>
          <w:szCs w:val="20"/>
        </w:rPr>
        <w:t>) &gt; 4.0 but below the Bonferroni threshold were considered suggestive.</w:t>
      </w:r>
    </w:p>
    <w:p w14:paraId="4BCA6431" w14:textId="1AE8165E" w:rsidR="00A66890" w:rsidRPr="00A66890" w:rsidRDefault="00A66890" w:rsidP="00A66890">
      <w:pPr>
        <w:pStyle w:val="NormalWeb"/>
        <w:rPr>
          <w:sz w:val="20"/>
          <w:szCs w:val="20"/>
        </w:rPr>
      </w:pPr>
    </w:p>
    <w:p w14:paraId="7777CF7F" w14:textId="77777777" w:rsidR="00A66890" w:rsidRDefault="00A66890"/>
    <w:sectPr w:rsidR="00A668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890"/>
    <w:rsid w:val="00222799"/>
    <w:rsid w:val="002D1A28"/>
    <w:rsid w:val="002F10B3"/>
    <w:rsid w:val="0035383E"/>
    <w:rsid w:val="00583B9F"/>
    <w:rsid w:val="00623BC2"/>
    <w:rsid w:val="007165A3"/>
    <w:rsid w:val="00733CDE"/>
    <w:rsid w:val="00791C65"/>
    <w:rsid w:val="00887127"/>
    <w:rsid w:val="0089619F"/>
    <w:rsid w:val="008D4480"/>
    <w:rsid w:val="009022C9"/>
    <w:rsid w:val="00970321"/>
    <w:rsid w:val="009F0396"/>
    <w:rsid w:val="00A66890"/>
    <w:rsid w:val="00B22790"/>
    <w:rsid w:val="00B73B18"/>
    <w:rsid w:val="00DF7EE1"/>
    <w:rsid w:val="00E14566"/>
    <w:rsid w:val="00E9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5C55A"/>
  <w15:chartTrackingRefBased/>
  <w15:docId w15:val="{E02F8EFA-621E-8D4A-A3FB-F4786C3F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6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8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8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8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8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89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89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89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8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8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8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6689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8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6689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668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890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8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890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89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668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A66890"/>
    <w:rPr>
      <w:b/>
      <w:bCs/>
    </w:rPr>
  </w:style>
  <w:style w:type="character" w:styleId="Emphasis">
    <w:name w:val="Emphasis"/>
    <w:basedOn w:val="DefaultParagraphFont"/>
    <w:uiPriority w:val="20"/>
    <w:qFormat/>
    <w:rsid w:val="00A668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Chalermpol Phumichai</dc:creator>
  <cp:keywords/>
  <dc:description/>
  <cp:lastModifiedBy>Chalermpol Phumichai</cp:lastModifiedBy>
  <cp:revision>17</cp:revision>
  <dcterms:created xsi:type="dcterms:W3CDTF">2026-05-27T02:18:00Z</dcterms:created>
  <dcterms:modified xsi:type="dcterms:W3CDTF">2026-08-14T05:41:00Z</dcterms:modified>
</cp:coreProperties>
</file>