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8AB699" w14:textId="0C048B2D" w:rsidR="004F73A5" w:rsidRPr="00DD065D" w:rsidRDefault="00982F5F" w:rsidP="000715D9">
      <w:pPr>
        <w:spacing w:line="240" w:lineRule="auto"/>
        <w:jc w:val="both"/>
        <w:rPr>
          <w:rFonts w:ascii="Times New Roman" w:hAnsi="Times New Roman" w:cs="Times New Roman"/>
          <w:b/>
          <w:bCs/>
          <w:sz w:val="20"/>
          <w:szCs w:val="20"/>
        </w:rPr>
      </w:pPr>
      <w:bookmarkStart w:id="0" w:name="OLE_LINK4"/>
      <w:r w:rsidRPr="00DD065D">
        <w:rPr>
          <w:rFonts w:ascii="Times New Roman" w:hAnsi="Times New Roman" w:cs="Times New Roman"/>
          <w:b/>
          <w:bCs/>
          <w:sz w:val="20"/>
          <w:szCs w:val="20"/>
        </w:rPr>
        <w:t xml:space="preserve">Materials and </w:t>
      </w:r>
      <w:r w:rsidR="00BF2DFF" w:rsidRPr="00DD065D">
        <w:rPr>
          <w:rFonts w:ascii="Times New Roman" w:hAnsi="Times New Roman" w:cs="Times New Roman"/>
          <w:b/>
          <w:bCs/>
          <w:sz w:val="20"/>
          <w:szCs w:val="20"/>
        </w:rPr>
        <w:t>m</w:t>
      </w:r>
      <w:r w:rsidRPr="00DD065D">
        <w:rPr>
          <w:rFonts w:ascii="Times New Roman" w:hAnsi="Times New Roman" w:cs="Times New Roman"/>
          <w:b/>
          <w:bCs/>
          <w:sz w:val="20"/>
          <w:szCs w:val="20"/>
        </w:rPr>
        <w:t>ethods</w:t>
      </w:r>
    </w:p>
    <w:p w14:paraId="38B070BE" w14:textId="339523E2" w:rsidR="00982F5F" w:rsidRPr="00DD065D" w:rsidRDefault="00982F5F" w:rsidP="000715D9">
      <w:pPr>
        <w:spacing w:line="240" w:lineRule="auto"/>
        <w:jc w:val="both"/>
        <w:rPr>
          <w:rFonts w:ascii="Times New Roman" w:hAnsi="Times New Roman" w:cs="Times New Roman"/>
          <w:b/>
          <w:bCs/>
          <w:sz w:val="20"/>
          <w:szCs w:val="20"/>
        </w:rPr>
      </w:pPr>
      <w:r w:rsidRPr="00DD065D">
        <w:rPr>
          <w:rFonts w:ascii="Times New Roman" w:hAnsi="Times New Roman" w:cs="Times New Roman"/>
          <w:b/>
          <w:bCs/>
          <w:sz w:val="20"/>
          <w:szCs w:val="20"/>
        </w:rPr>
        <w:t xml:space="preserve">Transcriptomic </w:t>
      </w:r>
      <w:r w:rsidR="00BF2DFF" w:rsidRPr="00DD065D">
        <w:rPr>
          <w:rFonts w:ascii="Times New Roman" w:hAnsi="Times New Roman" w:cs="Times New Roman"/>
          <w:b/>
          <w:bCs/>
          <w:sz w:val="20"/>
          <w:szCs w:val="20"/>
        </w:rPr>
        <w:t>a</w:t>
      </w:r>
      <w:r w:rsidRPr="00DD065D">
        <w:rPr>
          <w:rFonts w:ascii="Times New Roman" w:hAnsi="Times New Roman" w:cs="Times New Roman"/>
          <w:b/>
          <w:bCs/>
          <w:sz w:val="20"/>
          <w:szCs w:val="20"/>
        </w:rPr>
        <w:t>nalysis</w:t>
      </w:r>
    </w:p>
    <w:p w14:paraId="63E20436" w14:textId="20547B78" w:rsidR="00982F5F" w:rsidRPr="00DD065D" w:rsidRDefault="00982F5F" w:rsidP="000715D9">
      <w:pPr>
        <w:spacing w:line="240" w:lineRule="auto"/>
        <w:jc w:val="both"/>
        <w:rPr>
          <w:rFonts w:ascii="Times New Roman" w:hAnsi="Times New Roman" w:cs="Times New Roman"/>
          <w:b/>
          <w:bCs/>
          <w:sz w:val="20"/>
          <w:szCs w:val="20"/>
        </w:rPr>
      </w:pPr>
      <w:r w:rsidRPr="00DD065D">
        <w:rPr>
          <w:rFonts w:ascii="Times New Roman" w:hAnsi="Times New Roman" w:cs="Times New Roman"/>
          <w:b/>
          <w:bCs/>
          <w:sz w:val="20"/>
          <w:szCs w:val="20"/>
        </w:rPr>
        <w:t xml:space="preserve">Total RNA </w:t>
      </w:r>
      <w:r w:rsidR="00BF2DFF" w:rsidRPr="00DD065D">
        <w:rPr>
          <w:rFonts w:ascii="Times New Roman" w:hAnsi="Times New Roman" w:cs="Times New Roman"/>
          <w:b/>
          <w:bCs/>
          <w:sz w:val="20"/>
          <w:szCs w:val="20"/>
        </w:rPr>
        <w:t>e</w:t>
      </w:r>
      <w:r w:rsidRPr="00DD065D">
        <w:rPr>
          <w:rFonts w:ascii="Times New Roman" w:hAnsi="Times New Roman" w:cs="Times New Roman"/>
          <w:b/>
          <w:bCs/>
          <w:sz w:val="20"/>
          <w:szCs w:val="20"/>
        </w:rPr>
        <w:t xml:space="preserve">xtraction and </w:t>
      </w:r>
      <w:r w:rsidR="00BF2DFF" w:rsidRPr="00DD065D">
        <w:rPr>
          <w:rFonts w:ascii="Times New Roman" w:hAnsi="Times New Roman" w:cs="Times New Roman"/>
          <w:b/>
          <w:bCs/>
          <w:sz w:val="20"/>
          <w:szCs w:val="20"/>
        </w:rPr>
        <w:t>q</w:t>
      </w:r>
      <w:r w:rsidRPr="00DD065D">
        <w:rPr>
          <w:rFonts w:ascii="Times New Roman" w:hAnsi="Times New Roman" w:cs="Times New Roman"/>
          <w:b/>
          <w:bCs/>
          <w:sz w:val="20"/>
          <w:szCs w:val="20"/>
        </w:rPr>
        <w:t xml:space="preserve">uality </w:t>
      </w:r>
      <w:r w:rsidR="00BF2DFF" w:rsidRPr="00DD065D">
        <w:rPr>
          <w:rFonts w:ascii="Times New Roman" w:hAnsi="Times New Roman" w:cs="Times New Roman"/>
          <w:b/>
          <w:bCs/>
          <w:sz w:val="20"/>
          <w:szCs w:val="20"/>
        </w:rPr>
        <w:t>c</w:t>
      </w:r>
      <w:r w:rsidRPr="00DD065D">
        <w:rPr>
          <w:rFonts w:ascii="Times New Roman" w:hAnsi="Times New Roman" w:cs="Times New Roman"/>
          <w:b/>
          <w:bCs/>
          <w:sz w:val="20"/>
          <w:szCs w:val="20"/>
        </w:rPr>
        <w:t>ontrol</w:t>
      </w:r>
    </w:p>
    <w:p w14:paraId="0D57A5F0" w14:textId="77777777" w:rsidR="001C3272" w:rsidRPr="00DD065D" w:rsidRDefault="001C3272" w:rsidP="000715D9">
      <w:pPr>
        <w:spacing w:line="240" w:lineRule="auto"/>
        <w:jc w:val="both"/>
        <w:rPr>
          <w:rFonts w:ascii="Times New Roman" w:hAnsi="Times New Roman" w:cs="Times New Roman"/>
          <w:sz w:val="20"/>
          <w:szCs w:val="20"/>
        </w:rPr>
      </w:pPr>
      <w:r w:rsidRPr="00DD065D">
        <w:rPr>
          <w:rFonts w:ascii="Times New Roman" w:hAnsi="Times New Roman" w:cs="Times New Roman"/>
          <w:sz w:val="20"/>
          <w:szCs w:val="20"/>
        </w:rPr>
        <w:t>Total RNA was extracted from oat leaf samples using TRIzol® Reagent (Invitrogen, Carlsbad, USA) according to the manufacturer’s instructions. RNA concentration and purity were determined using a NanoDrop™ 2000 spectrophotometer (Thermo Fisher Scientific, Wilmington, USA). RNA integrity was assessed using agarose gel electrophoresis and an Agilent 5300 Fragment Analyzer (Agilent Technologies, USA). Samples with an RNA Quality Number (RQN) ≥ 6.5 and a 28S:18S rRNA ratio ≥ 1.0 were considered suitable for library construction. Only RNA samples meeting the quality criteria of concentration ≥30 ng μL⁻¹, OD260/280 between 1.8 and 2.2, and total RNA amount ≥1 μg were used for subsequent transcriptomic analysis.</w:t>
      </w:r>
    </w:p>
    <w:p w14:paraId="751C12B8" w14:textId="72BE65E3" w:rsidR="000A7772" w:rsidRPr="00DD065D" w:rsidRDefault="000A7772" w:rsidP="000715D9">
      <w:pPr>
        <w:spacing w:line="240" w:lineRule="auto"/>
        <w:jc w:val="both"/>
        <w:rPr>
          <w:rFonts w:ascii="Times New Roman" w:hAnsi="Times New Roman" w:cs="Times New Roman"/>
          <w:b/>
          <w:bCs/>
          <w:sz w:val="20"/>
          <w:szCs w:val="20"/>
        </w:rPr>
      </w:pPr>
      <w:r w:rsidRPr="00DD065D">
        <w:rPr>
          <w:rFonts w:ascii="Times New Roman" w:hAnsi="Times New Roman" w:cs="Times New Roman"/>
          <w:b/>
          <w:bCs/>
          <w:sz w:val="20"/>
          <w:szCs w:val="20"/>
        </w:rPr>
        <w:t xml:space="preserve">Library </w:t>
      </w:r>
      <w:r w:rsidR="00BF2DFF" w:rsidRPr="00DD065D">
        <w:rPr>
          <w:rFonts w:ascii="Times New Roman" w:hAnsi="Times New Roman" w:cs="Times New Roman"/>
          <w:b/>
          <w:bCs/>
          <w:sz w:val="20"/>
          <w:szCs w:val="20"/>
        </w:rPr>
        <w:t>c</w:t>
      </w:r>
      <w:r w:rsidRPr="00DD065D">
        <w:rPr>
          <w:rFonts w:ascii="Times New Roman" w:hAnsi="Times New Roman" w:cs="Times New Roman"/>
          <w:b/>
          <w:bCs/>
          <w:sz w:val="20"/>
          <w:szCs w:val="20"/>
        </w:rPr>
        <w:t xml:space="preserve">onstruction and </w:t>
      </w:r>
      <w:r w:rsidR="00BF2DFF" w:rsidRPr="00DD065D">
        <w:rPr>
          <w:rFonts w:ascii="Times New Roman" w:hAnsi="Times New Roman" w:cs="Times New Roman"/>
          <w:b/>
          <w:bCs/>
          <w:sz w:val="20"/>
          <w:szCs w:val="20"/>
        </w:rPr>
        <w:t>i</w:t>
      </w:r>
      <w:r w:rsidRPr="00DD065D">
        <w:rPr>
          <w:rFonts w:ascii="Times New Roman" w:hAnsi="Times New Roman" w:cs="Times New Roman"/>
          <w:b/>
          <w:bCs/>
          <w:sz w:val="20"/>
          <w:szCs w:val="20"/>
        </w:rPr>
        <w:t xml:space="preserve">llumina </w:t>
      </w:r>
      <w:r w:rsidR="00BF2DFF" w:rsidRPr="00DD065D">
        <w:rPr>
          <w:rFonts w:ascii="Times New Roman" w:hAnsi="Times New Roman" w:cs="Times New Roman"/>
          <w:b/>
          <w:bCs/>
          <w:sz w:val="20"/>
          <w:szCs w:val="20"/>
        </w:rPr>
        <w:t>s</w:t>
      </w:r>
      <w:r w:rsidRPr="00DD065D">
        <w:rPr>
          <w:rFonts w:ascii="Times New Roman" w:hAnsi="Times New Roman" w:cs="Times New Roman"/>
          <w:b/>
          <w:bCs/>
          <w:sz w:val="20"/>
          <w:szCs w:val="20"/>
        </w:rPr>
        <w:t>equencing</w:t>
      </w:r>
    </w:p>
    <w:p w14:paraId="0B4CAAB8" w14:textId="3CEFE8C9" w:rsidR="0043405C" w:rsidRPr="00DD065D" w:rsidRDefault="00D874C5" w:rsidP="000715D9">
      <w:pPr>
        <w:spacing w:line="240" w:lineRule="auto"/>
        <w:jc w:val="both"/>
        <w:rPr>
          <w:rFonts w:ascii="Times New Roman" w:hAnsi="Times New Roman" w:cs="Times New Roman"/>
          <w:sz w:val="20"/>
          <w:szCs w:val="20"/>
        </w:rPr>
      </w:pPr>
      <w:r w:rsidRPr="00DD065D">
        <w:rPr>
          <w:rFonts w:ascii="Times New Roman" w:hAnsi="Times New Roman" w:cs="Times New Roman"/>
          <w:sz w:val="20"/>
          <w:szCs w:val="20"/>
        </w:rPr>
        <w:t xml:space="preserve">RNA-seq library construction was performed by Majorbio Bio-pharm Technology Co., Ltd. (Shanghai, China). Briefly, 1 μg of total RNA was used for mRNA enrichment using Oligo(dT) magnetic beads, followed by fragmentation into approximately 300 bp fragments using Fragmentation Buffer (Ambion). Double-stranded cDNA was synthesized using the SuperScript™ double-stranded cDNA synthesis kit (Invitrogen, CA, USA) with random hexamer primers (Illumina) according to previously described procedures </w:t>
      </w:r>
      <w:r w:rsidRPr="00DD065D">
        <w:rPr>
          <w:rFonts w:ascii="Times New Roman" w:hAnsi="Times New Roman" w:cs="Times New Roman" w:hint="eastAsia"/>
          <w:sz w:val="20"/>
          <w:szCs w:val="20"/>
        </w:rPr>
        <w:t>[1]</w:t>
      </w:r>
      <w:r w:rsidRPr="00DD065D">
        <w:rPr>
          <w:rFonts w:ascii="Times New Roman" w:hAnsi="Times New Roman" w:cs="Times New Roman"/>
          <w:sz w:val="20"/>
          <w:szCs w:val="20"/>
        </w:rPr>
        <w:t>. The synthesized cDNA was subjected to end repair, phosphorylation, 3′ A-tailing, and ligation with Illumina TruSeq™ RNA Single-Index adapters (Illumina, San Diego, CA, USA). Target fragments were purified using AMPure XP beads (Beckman Coulter, Brea, CA, USA) and amplified by PCR using Phusion DNA polymerase (New England Biolabs, USA) for 10–12 cycles. Library quality and concentration were assessed using a TBS380 fluorometer. Qualified paired-end libraries (2 × 150 bp) were sequenced on an Illumina HiSeq X Ten/NovaSeq 6000 platform.</w:t>
      </w:r>
    </w:p>
    <w:p w14:paraId="20E9BAA9" w14:textId="2D6E8213" w:rsidR="006B2C65" w:rsidRPr="00DD065D" w:rsidRDefault="006F717A" w:rsidP="000715D9">
      <w:pPr>
        <w:spacing w:line="240" w:lineRule="auto"/>
        <w:jc w:val="both"/>
        <w:rPr>
          <w:rFonts w:ascii="Times New Roman" w:hAnsi="Times New Roman" w:cs="Times New Roman"/>
          <w:b/>
          <w:bCs/>
          <w:sz w:val="20"/>
          <w:szCs w:val="20"/>
        </w:rPr>
      </w:pPr>
      <w:r w:rsidRPr="00DD065D">
        <w:rPr>
          <w:rFonts w:ascii="Times New Roman" w:hAnsi="Times New Roman" w:cs="Times New Roman"/>
          <w:b/>
          <w:bCs/>
          <w:sz w:val="20"/>
          <w:szCs w:val="20"/>
        </w:rPr>
        <w:t>Data quality control and read mapping</w:t>
      </w:r>
    </w:p>
    <w:p w14:paraId="44DA12E1" w14:textId="74B136B5" w:rsidR="00916C4C" w:rsidRPr="00DD065D" w:rsidRDefault="00916C4C" w:rsidP="000715D9">
      <w:pPr>
        <w:spacing w:line="240" w:lineRule="auto"/>
        <w:jc w:val="both"/>
        <w:rPr>
          <w:rFonts w:ascii="Times New Roman" w:hAnsi="Times New Roman" w:cs="Times New Roman"/>
          <w:sz w:val="20"/>
          <w:szCs w:val="20"/>
        </w:rPr>
      </w:pPr>
      <w:r w:rsidRPr="00DD065D">
        <w:rPr>
          <w:rFonts w:ascii="Times New Roman" w:hAnsi="Times New Roman" w:cs="Times New Roman"/>
          <w:sz w:val="20"/>
          <w:szCs w:val="20"/>
        </w:rPr>
        <w:t>Raw sequencing data quality was assessed using FastQC (v0.11.9). Adapter sequences and low-quality reads were removed using fastp (v0.</w:t>
      </w:r>
      <w:r w:rsidR="00A1026A" w:rsidRPr="00DD065D">
        <w:rPr>
          <w:rFonts w:ascii="Times New Roman" w:hAnsi="Times New Roman" w:cs="Times New Roman" w:hint="eastAsia"/>
          <w:sz w:val="20"/>
          <w:szCs w:val="20"/>
        </w:rPr>
        <w:t>19</w:t>
      </w:r>
      <w:r w:rsidRPr="00DD065D">
        <w:rPr>
          <w:rFonts w:ascii="Times New Roman" w:hAnsi="Times New Roman" w:cs="Times New Roman"/>
          <w:sz w:val="20"/>
          <w:szCs w:val="20"/>
        </w:rPr>
        <w:t>.</w:t>
      </w:r>
      <w:r w:rsidR="00A1026A" w:rsidRPr="00DD065D">
        <w:rPr>
          <w:rFonts w:ascii="Times New Roman" w:hAnsi="Times New Roman" w:cs="Times New Roman" w:hint="eastAsia"/>
          <w:sz w:val="20"/>
          <w:szCs w:val="20"/>
        </w:rPr>
        <w:t>5</w:t>
      </w:r>
      <w:r w:rsidRPr="00DD065D">
        <w:rPr>
          <w:rFonts w:ascii="Times New Roman" w:hAnsi="Times New Roman" w:cs="Times New Roman"/>
          <w:sz w:val="20"/>
          <w:szCs w:val="20"/>
        </w:rPr>
        <w:t xml:space="preserve">) to generate clean reads for downstream analysis. Clean reads were evaluated based on sequencing quality parameters, including Q20, Q30, and GC content. Each sample generated approximately 6.05 Gb of clean data. Clean reads were mapped to the oat reference genome </w:t>
      </w:r>
      <w:r w:rsidRPr="00DD065D">
        <w:rPr>
          <w:rFonts w:ascii="Times New Roman" w:hAnsi="Times New Roman" w:cs="Times New Roman"/>
          <w:i/>
          <w:iCs/>
          <w:sz w:val="20"/>
          <w:szCs w:val="20"/>
        </w:rPr>
        <w:t>Avena sativa</w:t>
      </w:r>
      <w:r w:rsidRPr="00DD065D">
        <w:rPr>
          <w:rFonts w:ascii="Times New Roman" w:hAnsi="Times New Roman" w:cs="Times New Roman"/>
          <w:sz w:val="20"/>
          <w:szCs w:val="20"/>
        </w:rPr>
        <w:t xml:space="preserve"> OT3098 v1 using HISAT2</w:t>
      </w:r>
      <w:r w:rsidR="00A1026A" w:rsidRPr="00DD065D">
        <w:rPr>
          <w:rFonts w:ascii="Times New Roman" w:hAnsi="Times New Roman" w:cs="Times New Roman" w:hint="eastAsia"/>
          <w:sz w:val="20"/>
          <w:szCs w:val="20"/>
        </w:rPr>
        <w:t xml:space="preserve"> </w:t>
      </w:r>
      <w:r w:rsidR="00A1026A" w:rsidRPr="00DD065D">
        <w:rPr>
          <w:rFonts w:ascii="Times New Roman" w:hAnsi="Times New Roman" w:cs="Times New Roman"/>
          <w:sz w:val="20"/>
          <w:szCs w:val="20"/>
        </w:rPr>
        <w:t>(v</w:t>
      </w:r>
      <w:r w:rsidR="008C3D84" w:rsidRPr="00DD065D">
        <w:rPr>
          <w:rFonts w:ascii="Times New Roman" w:hAnsi="Times New Roman" w:cs="Times New Roman" w:hint="eastAsia"/>
          <w:sz w:val="20"/>
          <w:szCs w:val="20"/>
        </w:rPr>
        <w:t>2.1.0</w:t>
      </w:r>
      <w:r w:rsidR="00A1026A" w:rsidRPr="00DD065D">
        <w:rPr>
          <w:rFonts w:ascii="Times New Roman" w:hAnsi="Times New Roman" w:cs="Times New Roman"/>
          <w:sz w:val="20"/>
          <w:szCs w:val="20"/>
        </w:rPr>
        <w:t>)</w:t>
      </w:r>
      <w:r w:rsidRPr="00DD065D">
        <w:rPr>
          <w:rFonts w:ascii="Times New Roman" w:hAnsi="Times New Roman" w:cs="Times New Roman"/>
          <w:sz w:val="20"/>
          <w:szCs w:val="20"/>
        </w:rPr>
        <w:t xml:space="preserve"> [</w:t>
      </w:r>
      <w:r w:rsidRPr="00DD065D">
        <w:rPr>
          <w:rFonts w:ascii="Times New Roman" w:hAnsi="Times New Roman" w:cs="Times New Roman" w:hint="eastAsia"/>
          <w:sz w:val="20"/>
          <w:szCs w:val="20"/>
        </w:rPr>
        <w:t>2</w:t>
      </w:r>
      <w:r w:rsidRPr="00DD065D">
        <w:rPr>
          <w:rFonts w:ascii="Times New Roman" w:hAnsi="Times New Roman" w:cs="Times New Roman"/>
          <w:sz w:val="20"/>
          <w:szCs w:val="20"/>
        </w:rPr>
        <w:t>], and mapping quality was assessed for each sample.</w:t>
      </w:r>
    </w:p>
    <w:p w14:paraId="42FBA25E" w14:textId="77777777" w:rsidR="0094023A" w:rsidRPr="00DD065D" w:rsidRDefault="001D5193" w:rsidP="000715D9">
      <w:pPr>
        <w:spacing w:line="240" w:lineRule="auto"/>
        <w:jc w:val="both"/>
        <w:rPr>
          <w:rFonts w:ascii="Times New Roman" w:hAnsi="Times New Roman" w:cs="Times New Roman"/>
          <w:b/>
          <w:bCs/>
          <w:sz w:val="20"/>
          <w:szCs w:val="20"/>
        </w:rPr>
      </w:pPr>
      <w:r w:rsidRPr="00DD065D">
        <w:rPr>
          <w:rFonts w:ascii="Times New Roman" w:hAnsi="Times New Roman" w:cs="Times New Roman"/>
          <w:b/>
          <w:bCs/>
          <w:sz w:val="20"/>
          <w:szCs w:val="20"/>
        </w:rPr>
        <w:t>Functional annotation</w:t>
      </w:r>
    </w:p>
    <w:p w14:paraId="42D7B318" w14:textId="77777777" w:rsidR="00A80BE2" w:rsidRPr="00DD065D" w:rsidRDefault="00A80BE2" w:rsidP="000715D9">
      <w:pPr>
        <w:spacing w:line="240" w:lineRule="auto"/>
        <w:jc w:val="both"/>
        <w:rPr>
          <w:rFonts w:ascii="Times New Roman" w:hAnsi="Times New Roman" w:cs="Times New Roman"/>
          <w:sz w:val="20"/>
          <w:szCs w:val="20"/>
        </w:rPr>
      </w:pPr>
      <w:r w:rsidRPr="00DD065D">
        <w:rPr>
          <w:rFonts w:ascii="Times New Roman" w:hAnsi="Times New Roman" w:cs="Times New Roman"/>
          <w:sz w:val="20"/>
          <w:szCs w:val="20"/>
        </w:rPr>
        <w:t>Functional annotation of RNA-seq genes was performed against six public databases, including the NCBI non-redundant protein (NR; version 2022.10), Swiss-Prot (version 2022.10), Pfam (version 35.0), EggNOG (version 2020.06), Gene Ontology (GO; version 2022.0915), and Kyoto Encyclopedia of Genes and Genomes (KEGG; version 2022.10). DIAMOND (v0.9.24) was used as part of the sequence-similarity-based annotation workflow.</w:t>
      </w:r>
    </w:p>
    <w:p w14:paraId="1E8A23EC" w14:textId="6A867231" w:rsidR="00916C4C" w:rsidRPr="00DD065D" w:rsidRDefault="00BF2DFF" w:rsidP="000715D9">
      <w:pPr>
        <w:spacing w:line="240" w:lineRule="auto"/>
        <w:jc w:val="both"/>
        <w:rPr>
          <w:rFonts w:ascii="Times New Roman" w:hAnsi="Times New Roman" w:cs="Times New Roman"/>
          <w:b/>
          <w:bCs/>
          <w:sz w:val="20"/>
          <w:szCs w:val="20"/>
        </w:rPr>
      </w:pPr>
      <w:r w:rsidRPr="00DD065D">
        <w:rPr>
          <w:rFonts w:ascii="Times New Roman" w:hAnsi="Times New Roman" w:cs="Times New Roman"/>
          <w:b/>
          <w:bCs/>
          <w:sz w:val="20"/>
          <w:szCs w:val="20"/>
        </w:rPr>
        <w:t>Differential expression analysis and functional enrichment analysis</w:t>
      </w:r>
    </w:p>
    <w:p w14:paraId="4BDDE083" w14:textId="7789E5DD" w:rsidR="00916C4C" w:rsidRPr="00DD065D" w:rsidRDefault="00916C4C" w:rsidP="000715D9">
      <w:pPr>
        <w:spacing w:line="240" w:lineRule="auto"/>
        <w:jc w:val="both"/>
        <w:rPr>
          <w:rFonts w:ascii="Times New Roman" w:hAnsi="Times New Roman" w:cs="Times New Roman"/>
          <w:sz w:val="20"/>
          <w:szCs w:val="20"/>
        </w:rPr>
      </w:pPr>
      <w:r w:rsidRPr="00DD065D">
        <w:rPr>
          <w:rFonts w:ascii="Times New Roman" w:hAnsi="Times New Roman" w:cs="Times New Roman"/>
          <w:sz w:val="20"/>
          <w:szCs w:val="20"/>
        </w:rPr>
        <w:t xml:space="preserve">Gene expression levels were quantified using RSEM (v1.3.3) and expressed as transcripts per million </w:t>
      </w:r>
      <w:r w:rsidRPr="00DD065D">
        <w:rPr>
          <w:rFonts w:ascii="Times New Roman" w:hAnsi="Times New Roman" w:cs="Times New Roman"/>
          <w:sz w:val="20"/>
          <w:szCs w:val="20"/>
        </w:rPr>
        <w:lastRenderedPageBreak/>
        <w:t>(TPM) [</w:t>
      </w:r>
      <w:r w:rsidRPr="00DD065D">
        <w:rPr>
          <w:rFonts w:ascii="Times New Roman" w:hAnsi="Times New Roman" w:cs="Times New Roman" w:hint="eastAsia"/>
          <w:sz w:val="20"/>
          <w:szCs w:val="20"/>
        </w:rPr>
        <w:t>3</w:t>
      </w:r>
      <w:r w:rsidRPr="00DD065D">
        <w:rPr>
          <w:rFonts w:ascii="Times New Roman" w:hAnsi="Times New Roman" w:cs="Times New Roman"/>
          <w:sz w:val="20"/>
          <w:szCs w:val="20"/>
        </w:rPr>
        <w:t>]. Differential expression analysis was performed using DESeq2 (v1.</w:t>
      </w:r>
      <w:r w:rsidR="00A41254" w:rsidRPr="00DD065D">
        <w:rPr>
          <w:rFonts w:ascii="Times New Roman" w:hAnsi="Times New Roman" w:cs="Times New Roman" w:hint="eastAsia"/>
          <w:sz w:val="20"/>
          <w:szCs w:val="20"/>
        </w:rPr>
        <w:t>2</w:t>
      </w:r>
      <w:r w:rsidRPr="00DD065D">
        <w:rPr>
          <w:rFonts w:ascii="Times New Roman" w:hAnsi="Times New Roman" w:cs="Times New Roman"/>
          <w:sz w:val="20"/>
          <w:szCs w:val="20"/>
        </w:rPr>
        <w:t xml:space="preserve">4.0). Genes with |log₂FC| ≥ 1 and Benjamini–Hochberg (BH)-adjusted </w:t>
      </w:r>
      <w:r w:rsidRPr="00DD065D">
        <w:rPr>
          <w:rFonts w:ascii="Times New Roman" w:hAnsi="Times New Roman" w:cs="Times New Roman"/>
          <w:i/>
          <w:iCs/>
          <w:sz w:val="20"/>
          <w:szCs w:val="20"/>
        </w:rPr>
        <w:t>P</w:t>
      </w:r>
      <w:r w:rsidRPr="00DD065D">
        <w:rPr>
          <w:rFonts w:ascii="Times New Roman" w:hAnsi="Times New Roman" w:cs="Times New Roman"/>
          <w:sz w:val="20"/>
          <w:szCs w:val="20"/>
        </w:rPr>
        <w:t xml:space="preserve"> &lt; 0.05 were considered differentially expressed genes (DEGs) [</w:t>
      </w:r>
      <w:r w:rsidR="007B66B5" w:rsidRPr="00DD065D">
        <w:rPr>
          <w:rFonts w:ascii="Times New Roman" w:hAnsi="Times New Roman" w:cs="Times New Roman" w:hint="eastAsia"/>
          <w:sz w:val="20"/>
          <w:szCs w:val="20"/>
        </w:rPr>
        <w:t>4</w:t>
      </w:r>
      <w:r w:rsidRPr="00DD065D">
        <w:rPr>
          <w:rFonts w:ascii="Times New Roman" w:hAnsi="Times New Roman" w:cs="Times New Roman"/>
          <w:sz w:val="20"/>
          <w:szCs w:val="20"/>
        </w:rPr>
        <w:t>]. UpSet analysis was performed to identify shared and comparison-specific LP-responsive DEG subsets among different comparisons.</w:t>
      </w:r>
    </w:p>
    <w:p w14:paraId="30DC371C" w14:textId="02E02D64" w:rsidR="00916C4C" w:rsidRPr="00DD065D" w:rsidRDefault="00916C4C" w:rsidP="000715D9">
      <w:pPr>
        <w:spacing w:line="240" w:lineRule="auto"/>
        <w:jc w:val="both"/>
        <w:rPr>
          <w:rFonts w:ascii="Times New Roman" w:hAnsi="Times New Roman" w:cs="Times New Roman"/>
          <w:sz w:val="20"/>
          <w:szCs w:val="20"/>
        </w:rPr>
      </w:pPr>
      <w:r w:rsidRPr="00DD065D">
        <w:rPr>
          <w:rFonts w:ascii="Times New Roman" w:hAnsi="Times New Roman" w:cs="Times New Roman"/>
          <w:sz w:val="20"/>
          <w:szCs w:val="20"/>
        </w:rPr>
        <w:t>Gene Ontology (GO) and Kyoto Encyclopedia of Genes and Genomes (KEGG) enrichment analyses were conducted using clusterProfiler (v4.2), GOATOOLS (v</w:t>
      </w:r>
      <w:r w:rsidR="0054278E" w:rsidRPr="00DD065D">
        <w:rPr>
          <w:rFonts w:ascii="Times New Roman" w:hAnsi="Times New Roman" w:cs="Times New Roman" w:hint="eastAsia"/>
          <w:sz w:val="20"/>
          <w:szCs w:val="20"/>
        </w:rPr>
        <w:t>0.6.5</w:t>
      </w:r>
      <w:r w:rsidRPr="00DD065D">
        <w:rPr>
          <w:rFonts w:ascii="Times New Roman" w:hAnsi="Times New Roman" w:cs="Times New Roman"/>
          <w:sz w:val="20"/>
          <w:szCs w:val="20"/>
        </w:rPr>
        <w:t>) [</w:t>
      </w:r>
      <w:r w:rsidR="007B66B5" w:rsidRPr="00DD065D">
        <w:rPr>
          <w:rFonts w:ascii="Times New Roman" w:hAnsi="Times New Roman" w:cs="Times New Roman" w:hint="eastAsia"/>
          <w:sz w:val="20"/>
          <w:szCs w:val="20"/>
        </w:rPr>
        <w:t>5</w:t>
      </w:r>
      <w:r w:rsidRPr="00DD065D">
        <w:rPr>
          <w:rFonts w:ascii="Times New Roman" w:hAnsi="Times New Roman" w:cs="Times New Roman"/>
          <w:sz w:val="20"/>
          <w:szCs w:val="20"/>
        </w:rPr>
        <w:t>], and KOBAS (v</w:t>
      </w:r>
      <w:r w:rsidR="0054278E" w:rsidRPr="00DD065D">
        <w:rPr>
          <w:rFonts w:ascii="Times New Roman" w:hAnsi="Times New Roman" w:cs="Times New Roman" w:hint="eastAsia"/>
          <w:sz w:val="20"/>
          <w:szCs w:val="20"/>
        </w:rPr>
        <w:t>2.1.1</w:t>
      </w:r>
      <w:r w:rsidRPr="00DD065D">
        <w:rPr>
          <w:rFonts w:ascii="Times New Roman" w:hAnsi="Times New Roman" w:cs="Times New Roman"/>
          <w:sz w:val="20"/>
          <w:szCs w:val="20"/>
        </w:rPr>
        <w:t>) [</w:t>
      </w:r>
      <w:r w:rsidR="007B66B5" w:rsidRPr="00DD065D">
        <w:rPr>
          <w:rFonts w:ascii="Times New Roman" w:hAnsi="Times New Roman" w:cs="Times New Roman" w:hint="eastAsia"/>
          <w:sz w:val="20"/>
          <w:szCs w:val="20"/>
        </w:rPr>
        <w:t>6</w:t>
      </w:r>
      <w:r w:rsidRPr="00DD065D">
        <w:rPr>
          <w:rFonts w:ascii="Times New Roman" w:hAnsi="Times New Roman" w:cs="Times New Roman"/>
          <w:sz w:val="20"/>
          <w:szCs w:val="20"/>
        </w:rPr>
        <w:t xml:space="preserve">], with the </w:t>
      </w:r>
      <w:r w:rsidRPr="00DD065D">
        <w:rPr>
          <w:rFonts w:ascii="Times New Roman" w:hAnsi="Times New Roman" w:cs="Times New Roman"/>
          <w:i/>
          <w:iCs/>
          <w:sz w:val="20"/>
          <w:szCs w:val="20"/>
        </w:rPr>
        <w:t>Avena sativa</w:t>
      </w:r>
      <w:r w:rsidRPr="00DD065D">
        <w:rPr>
          <w:rFonts w:ascii="Times New Roman" w:hAnsi="Times New Roman" w:cs="Times New Roman"/>
          <w:sz w:val="20"/>
          <w:szCs w:val="20"/>
        </w:rPr>
        <w:t xml:space="preserve"> genome annotation used as the background. Multiple testing was controlled using the BH procedure, and terms or pathways with adjusted </w:t>
      </w:r>
      <w:r w:rsidRPr="00DD065D">
        <w:rPr>
          <w:rFonts w:ascii="Times New Roman" w:hAnsi="Times New Roman" w:cs="Times New Roman"/>
          <w:i/>
          <w:iCs/>
          <w:sz w:val="20"/>
          <w:szCs w:val="20"/>
        </w:rPr>
        <w:t>P</w:t>
      </w:r>
      <w:r w:rsidRPr="00DD065D">
        <w:rPr>
          <w:rFonts w:ascii="Times New Roman" w:hAnsi="Times New Roman" w:cs="Times New Roman"/>
          <w:sz w:val="20"/>
          <w:szCs w:val="20"/>
        </w:rPr>
        <w:t xml:space="preserve"> &lt; 0.05 were considered statistically significant. For QH444 comparison-specific DEG subsets, enrichment results with nominal </w:t>
      </w:r>
      <w:r w:rsidRPr="00DD065D">
        <w:rPr>
          <w:rFonts w:ascii="Times New Roman" w:hAnsi="Times New Roman" w:cs="Times New Roman"/>
          <w:i/>
          <w:iCs/>
          <w:sz w:val="20"/>
          <w:szCs w:val="20"/>
        </w:rPr>
        <w:t>P</w:t>
      </w:r>
      <w:r w:rsidRPr="00DD065D">
        <w:rPr>
          <w:rFonts w:ascii="Times New Roman" w:hAnsi="Times New Roman" w:cs="Times New Roman"/>
          <w:sz w:val="20"/>
          <w:szCs w:val="20"/>
        </w:rPr>
        <w:t xml:space="preserve"> &lt; 0.05 were visualized as exploratory analyses when no terms or pathways remained significant after BH correction.</w:t>
      </w:r>
    </w:p>
    <w:p w14:paraId="4D43129E" w14:textId="4534EF1E" w:rsidR="00127D67" w:rsidRPr="00DD065D" w:rsidRDefault="00127D67" w:rsidP="000715D9">
      <w:pPr>
        <w:spacing w:line="240" w:lineRule="auto"/>
        <w:jc w:val="both"/>
        <w:rPr>
          <w:rFonts w:ascii="Times New Roman" w:hAnsi="Times New Roman" w:cs="Times New Roman"/>
          <w:b/>
          <w:bCs/>
          <w:sz w:val="20"/>
          <w:szCs w:val="20"/>
        </w:rPr>
      </w:pPr>
      <w:r w:rsidRPr="00DD065D">
        <w:rPr>
          <w:rFonts w:ascii="Times New Roman" w:hAnsi="Times New Roman" w:cs="Times New Roman"/>
          <w:b/>
          <w:bCs/>
          <w:sz w:val="20"/>
          <w:szCs w:val="20"/>
        </w:rPr>
        <w:t>Proteomic Analysis</w:t>
      </w:r>
    </w:p>
    <w:p w14:paraId="212E1C54" w14:textId="12854381" w:rsidR="00127D67" w:rsidRPr="00DD065D" w:rsidRDefault="00127D67" w:rsidP="000715D9">
      <w:pPr>
        <w:spacing w:line="240" w:lineRule="auto"/>
        <w:jc w:val="both"/>
        <w:rPr>
          <w:rFonts w:ascii="Times New Roman" w:hAnsi="Times New Roman" w:cs="Times New Roman"/>
          <w:b/>
          <w:bCs/>
          <w:sz w:val="20"/>
          <w:szCs w:val="20"/>
        </w:rPr>
      </w:pPr>
      <w:r w:rsidRPr="00DD065D">
        <w:rPr>
          <w:rFonts w:ascii="Times New Roman" w:hAnsi="Times New Roman" w:cs="Times New Roman"/>
          <w:b/>
          <w:bCs/>
          <w:sz w:val="20"/>
          <w:szCs w:val="20"/>
        </w:rPr>
        <w:t>Total protein extraction</w:t>
      </w:r>
    </w:p>
    <w:p w14:paraId="7BA10EA6" w14:textId="77777777" w:rsidR="009D359E" w:rsidRPr="00DD065D" w:rsidRDefault="009D359E" w:rsidP="000715D9">
      <w:pPr>
        <w:spacing w:line="240" w:lineRule="auto"/>
        <w:jc w:val="both"/>
        <w:rPr>
          <w:rFonts w:ascii="Times New Roman" w:hAnsi="Times New Roman" w:cs="Times New Roman"/>
          <w:b/>
          <w:bCs/>
          <w:sz w:val="20"/>
          <w:szCs w:val="20"/>
        </w:rPr>
      </w:pPr>
      <w:r w:rsidRPr="00DD065D">
        <w:rPr>
          <w:rFonts w:ascii="Times New Roman" w:hAnsi="Times New Roman" w:cs="Times New Roman"/>
          <w:sz w:val="20"/>
          <w:szCs w:val="20"/>
        </w:rPr>
        <w:t xml:space="preserve">Oat leaf samples were thoroughly ground in liquid nitrogen. Protein extraction was performed using pre-cooled lysis buffer containing 8 M urea, 1% SDS, and protease inhibitors. Samples were incubated on ice for 30 min with intermittent vortexing and centrifuged at 12,000 × </w:t>
      </w:r>
      <w:r w:rsidRPr="00DD065D">
        <w:rPr>
          <w:rFonts w:ascii="Times New Roman" w:hAnsi="Times New Roman" w:cs="Times New Roman"/>
          <w:i/>
          <w:iCs/>
          <w:sz w:val="20"/>
          <w:szCs w:val="20"/>
        </w:rPr>
        <w:t>g</w:t>
      </w:r>
      <w:r w:rsidRPr="00DD065D">
        <w:rPr>
          <w:rFonts w:ascii="Times New Roman" w:hAnsi="Times New Roman" w:cs="Times New Roman"/>
          <w:sz w:val="20"/>
          <w:szCs w:val="20"/>
        </w:rPr>
        <w:t xml:space="preserve"> for 30 min at 4 °C. The supernatant was collected, and protein concentration was determined using a BCA Protein Assay Kit (Pierce, Thermo Scientific, USA). Protein samples were adjusted to 2 μg μL⁻¹, aliquoted, and stored at −80 °C until further analysis.</w:t>
      </w:r>
      <w:r w:rsidRPr="00DD065D">
        <w:rPr>
          <w:rFonts w:ascii="Times New Roman" w:hAnsi="Times New Roman" w:cs="Times New Roman"/>
          <w:b/>
          <w:bCs/>
          <w:sz w:val="20"/>
          <w:szCs w:val="20"/>
        </w:rPr>
        <w:t xml:space="preserve"> </w:t>
      </w:r>
    </w:p>
    <w:p w14:paraId="32168418" w14:textId="6006B029" w:rsidR="002D3B56" w:rsidRPr="00DD065D" w:rsidRDefault="002D3B56" w:rsidP="000715D9">
      <w:pPr>
        <w:spacing w:line="240" w:lineRule="auto"/>
        <w:jc w:val="both"/>
        <w:rPr>
          <w:rFonts w:ascii="Times New Roman" w:hAnsi="Times New Roman" w:cs="Times New Roman"/>
          <w:b/>
          <w:bCs/>
          <w:sz w:val="20"/>
          <w:szCs w:val="20"/>
        </w:rPr>
      </w:pPr>
      <w:r w:rsidRPr="00DD065D">
        <w:rPr>
          <w:rFonts w:ascii="Times New Roman" w:hAnsi="Times New Roman" w:cs="Times New Roman"/>
          <w:b/>
          <w:bCs/>
          <w:sz w:val="20"/>
          <w:szCs w:val="20"/>
        </w:rPr>
        <w:t xml:space="preserve">Protein </w:t>
      </w:r>
      <w:r w:rsidR="00A14216" w:rsidRPr="00DD065D">
        <w:rPr>
          <w:rFonts w:ascii="Times New Roman" w:hAnsi="Times New Roman" w:cs="Times New Roman"/>
          <w:b/>
          <w:bCs/>
          <w:sz w:val="20"/>
          <w:szCs w:val="20"/>
        </w:rPr>
        <w:t>d</w:t>
      </w:r>
      <w:r w:rsidRPr="00DD065D">
        <w:rPr>
          <w:rFonts w:ascii="Times New Roman" w:hAnsi="Times New Roman" w:cs="Times New Roman"/>
          <w:b/>
          <w:bCs/>
          <w:sz w:val="20"/>
          <w:szCs w:val="20"/>
        </w:rPr>
        <w:t xml:space="preserve">igestion and TMT </w:t>
      </w:r>
      <w:r w:rsidR="00A14216" w:rsidRPr="00DD065D">
        <w:rPr>
          <w:rFonts w:ascii="Times New Roman" w:hAnsi="Times New Roman" w:cs="Times New Roman"/>
          <w:b/>
          <w:bCs/>
          <w:sz w:val="20"/>
          <w:szCs w:val="20"/>
        </w:rPr>
        <w:t>l</w:t>
      </w:r>
      <w:r w:rsidRPr="00DD065D">
        <w:rPr>
          <w:rFonts w:ascii="Times New Roman" w:hAnsi="Times New Roman" w:cs="Times New Roman"/>
          <w:b/>
          <w:bCs/>
          <w:sz w:val="20"/>
          <w:szCs w:val="20"/>
        </w:rPr>
        <w:t>abeling</w:t>
      </w:r>
    </w:p>
    <w:p w14:paraId="33CEA838" w14:textId="77777777" w:rsidR="009D359E" w:rsidRPr="00DD065D" w:rsidRDefault="009D359E" w:rsidP="000715D9">
      <w:pPr>
        <w:spacing w:line="240" w:lineRule="auto"/>
        <w:jc w:val="both"/>
        <w:rPr>
          <w:rFonts w:ascii="Times New Roman" w:hAnsi="Times New Roman" w:cs="Times New Roman"/>
          <w:b/>
          <w:bCs/>
          <w:sz w:val="20"/>
          <w:szCs w:val="20"/>
        </w:rPr>
      </w:pPr>
      <w:r w:rsidRPr="00DD065D">
        <w:rPr>
          <w:rFonts w:ascii="Times New Roman" w:hAnsi="Times New Roman" w:cs="Times New Roman"/>
          <w:sz w:val="20"/>
          <w:szCs w:val="20"/>
        </w:rPr>
        <w:t>For each sample, 100 μg of protein was diluted with TEAB buffer to a final concentration of 100 mM. Proteins were reduced with 10 mM TCEP at 37 °C for 1 h and alkylated with 40 mM IAM for 40 min at room temperature in darkness. Proteins were precipitated with six volumes of pre-cooled acetone at −20 °C for 4 h, followed by centrifugation and resuspension in 100 μL of 100 mM TEAB. Protein digestion was performed using trypsin at an enzyme-to-protein ratio of 1:50 (w/w) overnight at 37 °C. The resulting peptides were labeled with TMT 16plex reagents (Thermo Scientific, Rockford, USA) for 2 h at room temperature, quenched with hydroxylamine for 30 min, pooled, desalted, and concentrated by vacuum drying.</w:t>
      </w:r>
      <w:r w:rsidRPr="00DD065D">
        <w:rPr>
          <w:rFonts w:ascii="Times New Roman" w:hAnsi="Times New Roman" w:cs="Times New Roman"/>
          <w:b/>
          <w:bCs/>
          <w:sz w:val="20"/>
          <w:szCs w:val="20"/>
        </w:rPr>
        <w:t xml:space="preserve"> </w:t>
      </w:r>
    </w:p>
    <w:p w14:paraId="2FAB31DC" w14:textId="388C5DC4" w:rsidR="009D359E" w:rsidRPr="00DD065D" w:rsidRDefault="0054245E" w:rsidP="000715D9">
      <w:pPr>
        <w:spacing w:line="240" w:lineRule="auto"/>
        <w:jc w:val="both"/>
        <w:rPr>
          <w:rFonts w:ascii="Times New Roman" w:hAnsi="Times New Roman" w:cs="Times New Roman"/>
          <w:b/>
          <w:bCs/>
          <w:sz w:val="20"/>
          <w:szCs w:val="20"/>
        </w:rPr>
      </w:pPr>
      <w:r w:rsidRPr="00DD065D">
        <w:rPr>
          <w:rFonts w:ascii="Times New Roman" w:hAnsi="Times New Roman" w:cs="Times New Roman"/>
          <w:b/>
          <w:bCs/>
          <w:sz w:val="20"/>
          <w:szCs w:val="20"/>
        </w:rPr>
        <w:t>Protein identification, differential-abundance analysis, and functional enrichment</w:t>
      </w:r>
    </w:p>
    <w:p w14:paraId="1077D6C7" w14:textId="0D44FF7C" w:rsidR="009D359E" w:rsidRPr="00DD065D" w:rsidRDefault="009D359E" w:rsidP="000715D9">
      <w:pPr>
        <w:spacing w:line="240" w:lineRule="auto"/>
        <w:jc w:val="both"/>
        <w:rPr>
          <w:rFonts w:ascii="Times New Roman" w:eastAsia="宋体" w:hAnsi="Times New Roman" w:cs="Times New Roman"/>
          <w:sz w:val="20"/>
          <w:szCs w:val="20"/>
        </w:rPr>
      </w:pPr>
      <w:r w:rsidRPr="00DD065D">
        <w:rPr>
          <w:rFonts w:ascii="Times New Roman" w:eastAsia="宋体" w:hAnsi="Times New Roman" w:cs="Times New Roman"/>
          <w:sz w:val="20"/>
          <w:szCs w:val="20"/>
        </w:rPr>
        <w:t>Raw mass spectrometry data quality was evaluated based on peptide-length distribution, precursor mass deviation, unique peptide number, protein sequence coverage, and molecular-weight distribution [</w:t>
      </w:r>
      <w:r w:rsidR="00764109" w:rsidRPr="00DD065D">
        <w:rPr>
          <w:rFonts w:ascii="Times New Roman" w:eastAsia="宋体" w:hAnsi="Times New Roman" w:cs="Times New Roman" w:hint="eastAsia"/>
          <w:sz w:val="20"/>
          <w:szCs w:val="20"/>
        </w:rPr>
        <w:t>7</w:t>
      </w:r>
      <w:r w:rsidRPr="00DD065D">
        <w:rPr>
          <w:rFonts w:ascii="Times New Roman" w:eastAsia="宋体" w:hAnsi="Times New Roman" w:cs="Times New Roman"/>
          <w:sz w:val="20"/>
          <w:szCs w:val="20"/>
        </w:rPr>
        <w:t xml:space="preserve">, </w:t>
      </w:r>
      <w:r w:rsidR="00764109" w:rsidRPr="00DD065D">
        <w:rPr>
          <w:rFonts w:ascii="Times New Roman" w:eastAsia="宋体" w:hAnsi="Times New Roman" w:cs="Times New Roman" w:hint="eastAsia"/>
          <w:sz w:val="20"/>
          <w:szCs w:val="20"/>
        </w:rPr>
        <w:t>8</w:t>
      </w:r>
      <w:r w:rsidRPr="00DD065D">
        <w:rPr>
          <w:rFonts w:ascii="Times New Roman" w:eastAsia="宋体" w:hAnsi="Times New Roman" w:cs="Times New Roman"/>
          <w:sz w:val="20"/>
          <w:szCs w:val="20"/>
        </w:rPr>
        <w:t>. Protein fold changes (FCs) were calculated as the ratios of mean protein abundance between comparison groups [</w:t>
      </w:r>
      <w:r w:rsidR="00940698" w:rsidRPr="00DD065D">
        <w:rPr>
          <w:rFonts w:ascii="Times New Roman" w:eastAsia="宋体" w:hAnsi="Times New Roman" w:cs="Times New Roman" w:hint="eastAsia"/>
          <w:sz w:val="20"/>
          <w:szCs w:val="20"/>
        </w:rPr>
        <w:t>9</w:t>
      </w:r>
      <w:r w:rsidRPr="00DD065D">
        <w:rPr>
          <w:rFonts w:ascii="Times New Roman" w:eastAsia="宋体" w:hAnsi="Times New Roman" w:cs="Times New Roman"/>
          <w:sz w:val="20"/>
          <w:szCs w:val="20"/>
        </w:rPr>
        <w:t>].</w:t>
      </w:r>
    </w:p>
    <w:p w14:paraId="26D3175E" w14:textId="7BF5FF1E" w:rsidR="009D359E" w:rsidRPr="00DD065D" w:rsidRDefault="009D359E" w:rsidP="000715D9">
      <w:pPr>
        <w:spacing w:line="240" w:lineRule="auto"/>
        <w:jc w:val="both"/>
        <w:rPr>
          <w:rFonts w:ascii="Times New Roman" w:eastAsia="宋体" w:hAnsi="Times New Roman" w:cs="Times New Roman"/>
          <w:sz w:val="20"/>
          <w:szCs w:val="20"/>
        </w:rPr>
      </w:pPr>
      <w:r w:rsidRPr="00DD065D">
        <w:rPr>
          <w:rFonts w:ascii="Times New Roman" w:eastAsia="宋体" w:hAnsi="Times New Roman" w:cs="Times New Roman"/>
          <w:sz w:val="20"/>
          <w:szCs w:val="20"/>
        </w:rPr>
        <w:t xml:space="preserve">Protein abundance differences were evaluated using two-sided Student’s </w:t>
      </w:r>
      <w:r w:rsidRPr="00DD065D">
        <w:rPr>
          <w:rFonts w:ascii="Times New Roman" w:eastAsia="宋体" w:hAnsi="Times New Roman" w:cs="Times New Roman"/>
          <w:i/>
          <w:iCs/>
          <w:sz w:val="20"/>
          <w:szCs w:val="20"/>
        </w:rPr>
        <w:t>t</w:t>
      </w:r>
      <w:r w:rsidRPr="00DD065D">
        <w:rPr>
          <w:rFonts w:ascii="Times New Roman" w:eastAsia="宋体" w:hAnsi="Times New Roman" w:cs="Times New Roman"/>
          <w:sz w:val="20"/>
          <w:szCs w:val="20"/>
        </w:rPr>
        <w:t xml:space="preserve">-tests based on quantitative protein-abundance values. Individual-protein significance was further assessed using Benjamini–Hochberg (BH) correction; however, no proteins remained significant after multiple-testing correction. Therefore, proteins with nominal </w:t>
      </w:r>
      <w:r w:rsidRPr="00DD065D">
        <w:rPr>
          <w:rFonts w:ascii="Times New Roman" w:eastAsia="宋体" w:hAnsi="Times New Roman" w:cs="Times New Roman"/>
          <w:i/>
          <w:iCs/>
          <w:sz w:val="20"/>
          <w:szCs w:val="20"/>
        </w:rPr>
        <w:t>P</w:t>
      </w:r>
      <w:r w:rsidRPr="00DD065D">
        <w:rPr>
          <w:rFonts w:ascii="Times New Roman" w:eastAsia="宋体" w:hAnsi="Times New Roman" w:cs="Times New Roman"/>
          <w:sz w:val="20"/>
          <w:szCs w:val="20"/>
        </w:rPr>
        <w:t xml:space="preserve"> &lt; 0.05 and FC ≥ 2 or ≤ 0.5 were operationally defined as candidate differentially abundant proteins and were used for exploratory downstream analyses.</w:t>
      </w:r>
    </w:p>
    <w:p w14:paraId="054FEC31" w14:textId="684F4FAA" w:rsidR="00154DF6" w:rsidRPr="00DD065D" w:rsidRDefault="00154DF6" w:rsidP="000715D9">
      <w:pPr>
        <w:spacing w:line="240" w:lineRule="auto"/>
        <w:jc w:val="both"/>
        <w:rPr>
          <w:rFonts w:ascii="Times New Roman" w:eastAsia="宋体" w:hAnsi="Times New Roman" w:cs="Times New Roman"/>
          <w:b/>
          <w:bCs/>
          <w:sz w:val="20"/>
          <w:szCs w:val="20"/>
        </w:rPr>
      </w:pPr>
      <w:r w:rsidRPr="00DD065D">
        <w:rPr>
          <w:rFonts w:ascii="Times New Roman" w:eastAsia="宋体" w:hAnsi="Times New Roman" w:cs="Times New Roman"/>
          <w:b/>
          <w:bCs/>
          <w:sz w:val="20"/>
          <w:szCs w:val="20"/>
        </w:rPr>
        <w:t>Metabolomic analysis</w:t>
      </w:r>
    </w:p>
    <w:p w14:paraId="6624C4E0" w14:textId="458CD8D7" w:rsidR="00154DF6" w:rsidRPr="00DD065D" w:rsidRDefault="00154DF6" w:rsidP="000715D9">
      <w:pPr>
        <w:spacing w:line="240" w:lineRule="auto"/>
        <w:jc w:val="both"/>
        <w:rPr>
          <w:rFonts w:ascii="Times New Roman" w:eastAsia="宋体" w:hAnsi="Times New Roman" w:cs="Times New Roman"/>
          <w:b/>
          <w:bCs/>
          <w:sz w:val="20"/>
          <w:szCs w:val="20"/>
        </w:rPr>
      </w:pPr>
      <w:r w:rsidRPr="00DD065D">
        <w:rPr>
          <w:rFonts w:ascii="Times New Roman" w:eastAsia="宋体" w:hAnsi="Times New Roman" w:cs="Times New Roman"/>
          <w:b/>
          <w:bCs/>
          <w:sz w:val="20"/>
          <w:szCs w:val="20"/>
        </w:rPr>
        <w:lastRenderedPageBreak/>
        <w:t>Metabolite extraction</w:t>
      </w:r>
    </w:p>
    <w:p w14:paraId="3B8969FB" w14:textId="77777777" w:rsidR="005B49B3" w:rsidRPr="00DD065D" w:rsidRDefault="005B49B3" w:rsidP="000715D9">
      <w:pPr>
        <w:spacing w:line="240" w:lineRule="auto"/>
        <w:jc w:val="both"/>
        <w:rPr>
          <w:rFonts w:ascii="Times New Roman" w:eastAsia="宋体" w:hAnsi="Times New Roman" w:cs="Times New Roman"/>
          <w:sz w:val="20"/>
          <w:szCs w:val="20"/>
        </w:rPr>
      </w:pPr>
      <w:r w:rsidRPr="00DD065D">
        <w:rPr>
          <w:rFonts w:ascii="Times New Roman" w:eastAsia="宋体" w:hAnsi="Times New Roman" w:cs="Times New Roman"/>
          <w:sz w:val="20"/>
          <w:szCs w:val="20"/>
        </w:rPr>
        <w:t xml:space="preserve">Frozen oat leaf tissues (100 mg) were accurately weighed and transferred into 2 mL centrifuge tubes. A total of 800 μL pre-cooled extraction solvent (methanol:water = 4:1, v/v) was added, and samples were incubated at −20 °C for 5 min. Homogenization was performed using a Wonbio-96c high-throughput tissue crusher (Shanghai Wanbo Biotechnology Co., Ltd.) at 50 Hz for 6 min, followed by vortex mixing for 30 s at 5 °C and ultrasonic extraction at 40 kHz for 30 min. Samples were maintained at −20 °C for 30 min to facilitate protein precipitation and metabolite extraction, followed by centrifugation at 13,000 × </w:t>
      </w:r>
      <w:r w:rsidRPr="00DD065D">
        <w:rPr>
          <w:rFonts w:ascii="Times New Roman" w:eastAsia="宋体" w:hAnsi="Times New Roman" w:cs="Times New Roman"/>
          <w:i/>
          <w:iCs/>
          <w:sz w:val="20"/>
          <w:szCs w:val="20"/>
        </w:rPr>
        <w:t>g</w:t>
      </w:r>
      <w:r w:rsidRPr="00DD065D">
        <w:rPr>
          <w:rFonts w:ascii="Times New Roman" w:eastAsia="宋体" w:hAnsi="Times New Roman" w:cs="Times New Roman"/>
          <w:sz w:val="20"/>
          <w:szCs w:val="20"/>
        </w:rPr>
        <w:t xml:space="preserve"> for 15 min at 4 °C. The resulting supernatants were transferred into autosampler vials for LC–MS/MS analysis.</w:t>
      </w:r>
    </w:p>
    <w:p w14:paraId="7800321E" w14:textId="663933E9" w:rsidR="00154DF6" w:rsidRPr="00DD065D" w:rsidRDefault="00154DF6" w:rsidP="000715D9">
      <w:pPr>
        <w:spacing w:line="240" w:lineRule="auto"/>
        <w:jc w:val="both"/>
        <w:rPr>
          <w:rFonts w:ascii="Times New Roman" w:eastAsia="宋体" w:hAnsi="Times New Roman" w:cs="Times New Roman"/>
          <w:b/>
          <w:bCs/>
          <w:sz w:val="20"/>
          <w:szCs w:val="20"/>
        </w:rPr>
      </w:pPr>
      <w:r w:rsidRPr="00DD065D">
        <w:rPr>
          <w:rFonts w:ascii="Times New Roman" w:eastAsia="宋体" w:hAnsi="Times New Roman" w:cs="Times New Roman"/>
          <w:b/>
          <w:bCs/>
          <w:sz w:val="20"/>
          <w:szCs w:val="20"/>
        </w:rPr>
        <w:t>Quality control sample preparation</w:t>
      </w:r>
    </w:p>
    <w:p w14:paraId="751E4BC5" w14:textId="6BC87506" w:rsidR="00E810F4" w:rsidRPr="00DD065D" w:rsidRDefault="00E810F4" w:rsidP="000715D9">
      <w:pPr>
        <w:spacing w:line="240" w:lineRule="auto"/>
        <w:jc w:val="both"/>
        <w:rPr>
          <w:rFonts w:ascii="Times New Roman" w:eastAsia="宋体" w:hAnsi="Times New Roman" w:cs="Times New Roman"/>
          <w:sz w:val="20"/>
          <w:szCs w:val="20"/>
        </w:rPr>
      </w:pPr>
      <w:r w:rsidRPr="00DD065D">
        <w:rPr>
          <w:rFonts w:ascii="Times New Roman" w:eastAsia="宋体" w:hAnsi="Times New Roman" w:cs="Times New Roman"/>
          <w:sz w:val="20"/>
          <w:szCs w:val="20"/>
        </w:rPr>
        <w:t>Quality control (QC) samples were prepared by pooling equal volumes of extracts from all samples to evaluate analytical reproducibility and instrument stability [</w:t>
      </w:r>
      <w:r w:rsidR="00940698" w:rsidRPr="00DD065D">
        <w:rPr>
          <w:rFonts w:ascii="Times New Roman" w:eastAsia="宋体" w:hAnsi="Times New Roman" w:cs="Times New Roman" w:hint="eastAsia"/>
          <w:sz w:val="20"/>
          <w:szCs w:val="20"/>
        </w:rPr>
        <w:t>10</w:t>
      </w:r>
      <w:r w:rsidRPr="00DD065D">
        <w:rPr>
          <w:rFonts w:ascii="Times New Roman" w:eastAsia="宋体" w:hAnsi="Times New Roman" w:cs="Times New Roman"/>
          <w:sz w:val="20"/>
          <w:szCs w:val="20"/>
        </w:rPr>
        <w:t>]. During LC–MS/MS acquisition, one QC sample was injected after every six experimental samples to monitor system performance and data quality.</w:t>
      </w:r>
    </w:p>
    <w:p w14:paraId="0B2C6CB7" w14:textId="77777777" w:rsidR="0005309E" w:rsidRPr="00DD065D" w:rsidRDefault="0005309E" w:rsidP="000715D9">
      <w:pPr>
        <w:spacing w:line="240" w:lineRule="auto"/>
        <w:jc w:val="both"/>
        <w:rPr>
          <w:rFonts w:ascii="Times New Roman" w:eastAsia="宋体" w:hAnsi="Times New Roman" w:cs="Times New Roman"/>
          <w:b/>
          <w:bCs/>
          <w:sz w:val="20"/>
          <w:szCs w:val="20"/>
        </w:rPr>
      </w:pPr>
      <w:r w:rsidRPr="00DD065D">
        <w:rPr>
          <w:rFonts w:ascii="Times New Roman" w:eastAsia="宋体" w:hAnsi="Times New Roman" w:cs="Times New Roman"/>
          <w:b/>
          <w:bCs/>
          <w:sz w:val="20"/>
          <w:szCs w:val="20"/>
        </w:rPr>
        <w:t>Liquid Chromatography-Mass Spectrometry (LC-MS) Analysis</w:t>
      </w:r>
    </w:p>
    <w:p w14:paraId="425351FE" w14:textId="66465620" w:rsidR="0005309E" w:rsidRPr="00DD065D" w:rsidRDefault="0005309E" w:rsidP="000715D9">
      <w:pPr>
        <w:spacing w:line="240" w:lineRule="auto"/>
        <w:jc w:val="both"/>
        <w:rPr>
          <w:rFonts w:ascii="Times New Roman" w:eastAsia="宋体" w:hAnsi="Times New Roman" w:cs="Times New Roman"/>
          <w:sz w:val="20"/>
          <w:szCs w:val="20"/>
        </w:rPr>
      </w:pPr>
      <w:r w:rsidRPr="00DD065D">
        <w:rPr>
          <w:rFonts w:ascii="Times New Roman" w:eastAsia="宋体" w:hAnsi="Times New Roman" w:cs="Times New Roman"/>
          <w:sz w:val="20"/>
          <w:szCs w:val="20"/>
        </w:rPr>
        <w:t xml:space="preserve">Chromatographic separation of metabolites was performed using an </w:t>
      </w:r>
      <w:r w:rsidRPr="00DD065D">
        <w:rPr>
          <w:rFonts w:ascii="Times New Roman" w:eastAsia="宋体" w:hAnsi="Times New Roman" w:cs="Times New Roman"/>
          <w:b/>
          <w:bCs/>
          <w:sz w:val="20"/>
          <w:szCs w:val="20"/>
        </w:rPr>
        <w:t>HSS T3 column</w:t>
      </w:r>
      <w:r w:rsidRPr="00DD065D">
        <w:rPr>
          <w:rFonts w:ascii="Times New Roman" w:eastAsia="宋体" w:hAnsi="Times New Roman" w:cs="Times New Roman"/>
          <w:sz w:val="20"/>
          <w:szCs w:val="20"/>
        </w:rPr>
        <w:t xml:space="preserve"> </w:t>
      </w:r>
      <w:r w:rsidR="004555D7" w:rsidRPr="00DD065D">
        <w:rPr>
          <w:rFonts w:ascii="Times New Roman" w:hAnsi="Times New Roman" w:cs="Times New Roman"/>
          <w:sz w:val="20"/>
          <w:szCs w:val="20"/>
        </w:rPr>
        <w:t>(100</w:t>
      </w:r>
      <w:r w:rsidR="00471500" w:rsidRPr="00DD065D">
        <w:rPr>
          <w:rFonts w:ascii="Times New Roman" w:hAnsi="Times New Roman" w:cs="Times New Roman"/>
          <w:sz w:val="20"/>
          <w:szCs w:val="20"/>
        </w:rPr>
        <w:t xml:space="preserve"> </w:t>
      </w:r>
      <w:r w:rsidR="00DD1065" w:rsidRPr="00DD065D">
        <w:rPr>
          <w:rFonts w:ascii="Times New Roman" w:eastAsia="宋体" w:hAnsi="Times New Roman" w:cs="Times New Roman"/>
          <w:sz w:val="20"/>
          <w:szCs w:val="20"/>
        </w:rPr>
        <w:t xml:space="preserve">mm </w:t>
      </w:r>
      <w:r w:rsidR="00471500" w:rsidRPr="00DD065D">
        <w:rPr>
          <w:rFonts w:ascii="Times New Roman" w:hAnsi="Times New Roman" w:cs="Times New Roman"/>
          <w:sz w:val="20"/>
          <w:szCs w:val="20"/>
        </w:rPr>
        <w:t>×</w:t>
      </w:r>
      <w:r w:rsidR="00DD1065" w:rsidRPr="00DD065D">
        <w:rPr>
          <w:rFonts w:ascii="Times New Roman" w:hAnsi="Times New Roman" w:cs="Times New Roman"/>
          <w:sz w:val="20"/>
          <w:szCs w:val="20"/>
        </w:rPr>
        <w:t xml:space="preserve"> </w:t>
      </w:r>
      <w:r w:rsidRPr="00DD065D">
        <w:rPr>
          <w:rFonts w:ascii="Times New Roman" w:eastAsia="宋体" w:hAnsi="Times New Roman" w:cs="Times New Roman"/>
          <w:sz w:val="20"/>
          <w:szCs w:val="20"/>
        </w:rPr>
        <w:t>2.1 mm</w:t>
      </w:r>
      <w:r w:rsidR="00DD1065" w:rsidRPr="00DD065D">
        <w:rPr>
          <w:rFonts w:ascii="Times New Roman" w:eastAsia="宋体" w:hAnsi="Times New Roman" w:cs="Times New Roman"/>
          <w:sz w:val="20"/>
          <w:szCs w:val="20"/>
        </w:rPr>
        <w:t xml:space="preserve"> </w:t>
      </w:r>
      <w:r w:rsidRPr="00DD065D">
        <w:rPr>
          <w:rFonts w:ascii="Times New Roman" w:eastAsia="宋体" w:hAnsi="Times New Roman" w:cs="Times New Roman"/>
          <w:sz w:val="20"/>
          <w:szCs w:val="20"/>
        </w:rPr>
        <w:t xml:space="preserve">i.d., 1.8 µm) prior to mass spectrometry detection (Thermo Fisher Scientific, USA). </w:t>
      </w:r>
      <w:r w:rsidR="001F4C87" w:rsidRPr="00DD065D">
        <w:rPr>
          <w:rFonts w:ascii="Times New Roman" w:eastAsia="宋体" w:hAnsi="Times New Roman" w:cs="Times New Roman"/>
          <w:sz w:val="20"/>
          <w:szCs w:val="20"/>
        </w:rPr>
        <w:t>The</w:t>
      </w:r>
      <w:r w:rsidRPr="00DD065D">
        <w:rPr>
          <w:rFonts w:ascii="Times New Roman" w:eastAsia="宋体" w:hAnsi="Times New Roman" w:cs="Times New Roman"/>
          <w:sz w:val="20"/>
          <w:szCs w:val="20"/>
        </w:rPr>
        <w:t xml:space="preserve"> mobile phase consisted of phase A (0.1% formic acid in water) and phase B (0.1% formic acid in acetonitrile:isopropanol = 1:1, v/v). Mass spectrometry data were acquired using a </w:t>
      </w:r>
      <w:r w:rsidRPr="00DD065D">
        <w:rPr>
          <w:rFonts w:ascii="Times New Roman" w:eastAsia="宋体" w:hAnsi="Times New Roman" w:cs="Times New Roman"/>
          <w:b/>
          <w:bCs/>
          <w:sz w:val="20"/>
          <w:szCs w:val="20"/>
        </w:rPr>
        <w:t>UHPLC-Orbitrap Exploris 480</w:t>
      </w:r>
      <w:r w:rsidRPr="00DD065D">
        <w:rPr>
          <w:rFonts w:ascii="Times New Roman" w:eastAsia="宋体" w:hAnsi="Times New Roman" w:cs="Times New Roman"/>
          <w:sz w:val="20"/>
          <w:szCs w:val="20"/>
        </w:rPr>
        <w:t xml:space="preserve"> mass spectrometer (Thermo Fisher Scientific, USA) equipped with an electrospray ionization (ESI) source operating in both positive and negative ion modes.</w:t>
      </w:r>
    </w:p>
    <w:p w14:paraId="3D3193B3" w14:textId="376CF570" w:rsidR="00E810F4" w:rsidRPr="00DD065D" w:rsidRDefault="00E810F4" w:rsidP="000715D9">
      <w:pPr>
        <w:spacing w:line="240" w:lineRule="auto"/>
        <w:jc w:val="both"/>
        <w:rPr>
          <w:rFonts w:ascii="Times New Roman" w:eastAsia="宋体" w:hAnsi="Times New Roman" w:cs="Times New Roman"/>
          <w:sz w:val="20"/>
          <w:szCs w:val="20"/>
        </w:rPr>
      </w:pPr>
      <w:r w:rsidRPr="00DD065D">
        <w:rPr>
          <w:rFonts w:ascii="Times New Roman" w:eastAsia="宋体" w:hAnsi="Times New Roman" w:cs="Times New Roman"/>
          <w:sz w:val="20"/>
          <w:szCs w:val="20"/>
        </w:rPr>
        <w:t>Metabolite separation was performed using an HSS T3 column (100 mm × 2.1 mm i.d., 1.8 μm; Thermo Fisher Scientific, USA). The mobile phase consisted of solvent A (0.1% formic acid in water) and solvent B (0.1% formic acid in acetonitrile:isopropanol = 1:1, v/v). Untargeted metabolomic data were acquired using a UHPLC-Orbitrap Exploris 480 mass spectrometer (Thermo Fisher Scientific, USA) equipped with an electrospray ionization (ESI) source operated in both positive and negative ion modes.</w:t>
      </w:r>
    </w:p>
    <w:p w14:paraId="183F6311" w14:textId="77777777" w:rsidR="00394681" w:rsidRPr="00DD065D" w:rsidRDefault="0005309E" w:rsidP="000715D9">
      <w:pPr>
        <w:spacing w:line="240" w:lineRule="auto"/>
        <w:jc w:val="both"/>
        <w:rPr>
          <w:rFonts w:ascii="Times New Roman" w:eastAsia="宋体" w:hAnsi="Times New Roman" w:cs="Times New Roman"/>
          <w:b/>
          <w:bCs/>
          <w:sz w:val="20"/>
          <w:szCs w:val="20"/>
        </w:rPr>
      </w:pPr>
      <w:r w:rsidRPr="00DD065D">
        <w:rPr>
          <w:rFonts w:ascii="Times New Roman" w:eastAsia="宋体" w:hAnsi="Times New Roman" w:cs="Times New Roman"/>
          <w:b/>
          <w:bCs/>
          <w:sz w:val="20"/>
          <w:szCs w:val="20"/>
        </w:rPr>
        <w:t>Data Processing and Screening of Differential Metabolites</w:t>
      </w:r>
    </w:p>
    <w:p w14:paraId="7D83D34B" w14:textId="77777777" w:rsidR="00E810F4" w:rsidRPr="00DD065D" w:rsidRDefault="00E810F4" w:rsidP="000715D9">
      <w:pPr>
        <w:spacing w:line="240" w:lineRule="auto"/>
        <w:jc w:val="both"/>
        <w:rPr>
          <w:rFonts w:ascii="Times New Roman" w:eastAsia="宋体" w:hAnsi="Times New Roman" w:cs="Times New Roman"/>
          <w:sz w:val="20"/>
          <w:szCs w:val="20"/>
        </w:rPr>
      </w:pPr>
      <w:r w:rsidRPr="00DD065D">
        <w:rPr>
          <w:rFonts w:ascii="Times New Roman" w:eastAsia="宋体" w:hAnsi="Times New Roman" w:cs="Times New Roman"/>
          <w:sz w:val="20"/>
          <w:szCs w:val="20"/>
        </w:rPr>
        <w:t>Raw LC–MS data were processed using Progenesis QI (Waters Corporation, USA) for peak extraction, retention-time correction, and alignment. Features with a relative standard deviation (RSD) &gt; 30% among quality-control (QC) samples were removed, and the remaining abundance data were log10-transformed to generate the final data matrix.</w:t>
      </w:r>
    </w:p>
    <w:p w14:paraId="454DE4AD" w14:textId="1E557374" w:rsidR="00E810F4" w:rsidRPr="00DD065D" w:rsidRDefault="00E810F4" w:rsidP="000715D9">
      <w:pPr>
        <w:spacing w:line="240" w:lineRule="auto"/>
        <w:jc w:val="both"/>
        <w:rPr>
          <w:rFonts w:ascii="Times New Roman" w:eastAsia="宋体" w:hAnsi="Times New Roman" w:cs="Times New Roman"/>
          <w:sz w:val="20"/>
          <w:szCs w:val="20"/>
        </w:rPr>
      </w:pPr>
      <w:r w:rsidRPr="00DD065D">
        <w:rPr>
          <w:rFonts w:ascii="Times New Roman" w:eastAsia="宋体" w:hAnsi="Times New Roman" w:cs="Times New Roman"/>
          <w:sz w:val="20"/>
          <w:szCs w:val="20"/>
        </w:rPr>
        <w:t>Principal component analysis (PCA) and supervised multivariate analysis were performed using the ropls package (v1.6.2) in R. Partial least-squares discriminant analysis (PLS-DA) was used to evaluate metabolic profile separation among treatment groups, and model robustness was assessed using cumulative R²X, R²Y, and Q² values together with 200 permutation tests [</w:t>
      </w:r>
      <w:r w:rsidR="00940698" w:rsidRPr="00DD065D">
        <w:rPr>
          <w:rFonts w:ascii="Times New Roman" w:eastAsia="宋体" w:hAnsi="Times New Roman" w:cs="Times New Roman" w:hint="eastAsia"/>
          <w:sz w:val="20"/>
          <w:szCs w:val="20"/>
        </w:rPr>
        <w:t>11</w:t>
      </w:r>
      <w:r w:rsidRPr="00DD065D">
        <w:rPr>
          <w:rFonts w:ascii="Times New Roman" w:eastAsia="宋体" w:hAnsi="Times New Roman" w:cs="Times New Roman"/>
          <w:sz w:val="20"/>
          <w:szCs w:val="20"/>
        </w:rPr>
        <w:t>].</w:t>
      </w:r>
    </w:p>
    <w:p w14:paraId="584A9823" w14:textId="77777777" w:rsidR="00E810F4" w:rsidRPr="00DD065D" w:rsidRDefault="00E810F4" w:rsidP="000715D9">
      <w:pPr>
        <w:spacing w:line="240" w:lineRule="auto"/>
        <w:jc w:val="both"/>
        <w:rPr>
          <w:rFonts w:ascii="Times New Roman" w:eastAsia="宋体" w:hAnsi="Times New Roman" w:cs="Times New Roman"/>
          <w:sz w:val="20"/>
          <w:szCs w:val="20"/>
        </w:rPr>
      </w:pPr>
      <w:r w:rsidRPr="00DD065D">
        <w:rPr>
          <w:rFonts w:ascii="Times New Roman" w:eastAsia="宋体" w:hAnsi="Times New Roman" w:cs="Times New Roman"/>
          <w:sz w:val="20"/>
          <w:szCs w:val="20"/>
        </w:rPr>
        <w:t>Differential metabolites were identified using a false discovery rate (FDR) &lt; 0.05 combined with a variable importance in projection (VIP) score &gt; 1. No additional fold-change threshold was applied. Venn analysis was used to identify shared and comparison-specific LP-responsive metabolite sets among different comparisons.</w:t>
      </w:r>
    </w:p>
    <w:p w14:paraId="32FE63E0" w14:textId="274916B7" w:rsidR="00E810F4" w:rsidRPr="00DD065D" w:rsidRDefault="00E810F4" w:rsidP="000715D9">
      <w:pPr>
        <w:spacing w:line="240" w:lineRule="auto"/>
        <w:jc w:val="both"/>
        <w:rPr>
          <w:rFonts w:ascii="Times New Roman" w:eastAsia="宋体" w:hAnsi="Times New Roman" w:cs="Times New Roman"/>
          <w:sz w:val="20"/>
          <w:szCs w:val="20"/>
        </w:rPr>
      </w:pPr>
      <w:r w:rsidRPr="00DD065D">
        <w:rPr>
          <w:rFonts w:ascii="Times New Roman" w:eastAsia="宋体" w:hAnsi="Times New Roman" w:cs="Times New Roman"/>
          <w:sz w:val="20"/>
          <w:szCs w:val="20"/>
        </w:rPr>
        <w:lastRenderedPageBreak/>
        <w:t>KEGG pathway enrichment analysis was performed for differential-metabolite subsets using Fisher’s exact test [</w:t>
      </w:r>
      <w:r w:rsidR="00940698" w:rsidRPr="00DD065D">
        <w:rPr>
          <w:rFonts w:ascii="Times New Roman" w:eastAsia="宋体" w:hAnsi="Times New Roman" w:cs="Times New Roman" w:hint="eastAsia"/>
          <w:sz w:val="20"/>
          <w:szCs w:val="20"/>
        </w:rPr>
        <w:t>12</w:t>
      </w:r>
      <w:r w:rsidRPr="00DD065D">
        <w:rPr>
          <w:rFonts w:ascii="Times New Roman" w:eastAsia="宋体" w:hAnsi="Times New Roman" w:cs="Times New Roman"/>
          <w:sz w:val="20"/>
          <w:szCs w:val="20"/>
        </w:rPr>
        <w:t xml:space="preserve">]. Multiple testing was controlled using the Benjamini–Hochberg procedure, and pathways with adjusted </w:t>
      </w:r>
      <w:r w:rsidRPr="00DD065D">
        <w:rPr>
          <w:rFonts w:ascii="Times New Roman" w:eastAsia="宋体" w:hAnsi="Times New Roman" w:cs="Times New Roman"/>
          <w:i/>
          <w:iCs/>
          <w:sz w:val="20"/>
          <w:szCs w:val="20"/>
        </w:rPr>
        <w:t>P</w:t>
      </w:r>
      <w:r w:rsidRPr="00DD065D">
        <w:rPr>
          <w:rFonts w:ascii="Times New Roman" w:eastAsia="宋体" w:hAnsi="Times New Roman" w:cs="Times New Roman"/>
          <w:sz w:val="20"/>
          <w:szCs w:val="20"/>
        </w:rPr>
        <w:t xml:space="preserve"> &lt; 0.05 were considered statistically significant. For visualization, enrichment plots additionally displayed pathways with nominal </w:t>
      </w:r>
      <w:r w:rsidRPr="00DD065D">
        <w:rPr>
          <w:rFonts w:ascii="Times New Roman" w:eastAsia="宋体" w:hAnsi="Times New Roman" w:cs="Times New Roman"/>
          <w:i/>
          <w:iCs/>
          <w:sz w:val="20"/>
          <w:szCs w:val="20"/>
        </w:rPr>
        <w:t>P</w:t>
      </w:r>
      <w:r w:rsidRPr="00DD065D">
        <w:rPr>
          <w:rFonts w:ascii="Times New Roman" w:eastAsia="宋体" w:hAnsi="Times New Roman" w:cs="Times New Roman"/>
          <w:sz w:val="20"/>
          <w:szCs w:val="20"/>
        </w:rPr>
        <w:t xml:space="preserve"> &lt; 0.05; however, only BH-adjusted results were considered statistically significant. Pathway-topology analysis was used as a complementary visualization of pathway impact and was not used as an independent criterion for pathway significance.</w:t>
      </w:r>
    </w:p>
    <w:p w14:paraId="225BA2BD" w14:textId="77777777" w:rsidR="00E1708A" w:rsidRPr="00DD065D" w:rsidRDefault="00E1708A" w:rsidP="000715D9">
      <w:pPr>
        <w:spacing w:line="240" w:lineRule="auto"/>
        <w:jc w:val="both"/>
        <w:rPr>
          <w:rFonts w:ascii="Times New Roman" w:eastAsia="宋体" w:hAnsi="Times New Roman" w:cs="Times New Roman"/>
          <w:b/>
          <w:bCs/>
          <w:sz w:val="20"/>
          <w:szCs w:val="20"/>
        </w:rPr>
      </w:pPr>
      <w:r w:rsidRPr="00DD065D">
        <w:rPr>
          <w:rFonts w:ascii="Times New Roman" w:eastAsia="宋体" w:hAnsi="Times New Roman" w:cs="Times New Roman"/>
          <w:b/>
          <w:bCs/>
          <w:sz w:val="20"/>
          <w:szCs w:val="20"/>
        </w:rPr>
        <w:t>Proteome–metabolome integration analysis</w:t>
      </w:r>
    </w:p>
    <w:p w14:paraId="307F000E" w14:textId="77777777" w:rsidR="00E1708A" w:rsidRPr="00DD065D" w:rsidRDefault="00E1708A" w:rsidP="000715D9">
      <w:pPr>
        <w:spacing w:line="240" w:lineRule="auto"/>
        <w:jc w:val="both"/>
        <w:rPr>
          <w:rFonts w:ascii="Times New Roman" w:eastAsia="宋体" w:hAnsi="Times New Roman" w:cs="Times New Roman"/>
          <w:sz w:val="20"/>
          <w:szCs w:val="20"/>
        </w:rPr>
      </w:pPr>
      <w:r w:rsidRPr="00DD065D">
        <w:rPr>
          <w:rFonts w:ascii="Times New Roman" w:eastAsia="宋体" w:hAnsi="Times New Roman" w:cs="Times New Roman"/>
          <w:sz w:val="20"/>
          <w:szCs w:val="20"/>
        </w:rPr>
        <w:t>Proteomic and metabolomic datasets were integrated separately for each cultivar. Overall concordance between proteomic and metabolomic configurations was evaluated using Procrustes analysis based on Euclidean-distance matrices, and statistical significance was assessed by permutation testing.</w:t>
      </w:r>
    </w:p>
    <w:p w14:paraId="1331F94C" w14:textId="77777777" w:rsidR="00E1708A" w:rsidRPr="00DD065D" w:rsidRDefault="00E1708A" w:rsidP="000715D9">
      <w:pPr>
        <w:spacing w:line="240" w:lineRule="auto"/>
        <w:jc w:val="both"/>
        <w:rPr>
          <w:rFonts w:ascii="Times New Roman" w:eastAsia="宋体" w:hAnsi="Times New Roman" w:cs="Times New Roman"/>
          <w:sz w:val="20"/>
          <w:szCs w:val="20"/>
        </w:rPr>
      </w:pPr>
      <w:r w:rsidRPr="00DD065D">
        <w:rPr>
          <w:rFonts w:ascii="Times New Roman" w:eastAsia="宋体" w:hAnsi="Times New Roman" w:cs="Times New Roman"/>
          <w:sz w:val="20"/>
          <w:szCs w:val="20"/>
        </w:rPr>
        <w:t>Protein–metabolite associations were further examined using Spearman correlation analysis. These correlations were interpreted as statistical associations rather than evidence of regulatory or causal relationships.</w:t>
      </w:r>
    </w:p>
    <w:p w14:paraId="7F3594C6" w14:textId="77777777" w:rsidR="00E1708A" w:rsidRPr="00DD065D" w:rsidRDefault="00E1708A" w:rsidP="000715D9">
      <w:pPr>
        <w:spacing w:line="240" w:lineRule="auto"/>
        <w:jc w:val="both"/>
        <w:rPr>
          <w:rFonts w:ascii="Times New Roman" w:eastAsia="宋体" w:hAnsi="Times New Roman" w:cs="Times New Roman"/>
          <w:sz w:val="20"/>
          <w:szCs w:val="20"/>
        </w:rPr>
      </w:pPr>
      <w:r w:rsidRPr="00DD065D">
        <w:rPr>
          <w:rFonts w:ascii="Times New Roman" w:eastAsia="宋体" w:hAnsi="Times New Roman" w:cs="Times New Roman"/>
          <w:sz w:val="20"/>
          <w:szCs w:val="20"/>
        </w:rPr>
        <w:t xml:space="preserve">Comparative KEGG pathway analysis was performed to evaluate functional overlap between proteomic and metabolomic responses. Multiple-testing correction was conducted using the Benjamini–Hochberg procedure, and pathways with adjusted </w:t>
      </w:r>
      <w:r w:rsidRPr="00DD065D">
        <w:rPr>
          <w:rFonts w:ascii="Times New Roman" w:eastAsia="宋体" w:hAnsi="Times New Roman" w:cs="Times New Roman"/>
          <w:i/>
          <w:iCs/>
          <w:sz w:val="20"/>
          <w:szCs w:val="20"/>
        </w:rPr>
        <w:t>P</w:t>
      </w:r>
      <w:r w:rsidRPr="00DD065D">
        <w:rPr>
          <w:rFonts w:ascii="Times New Roman" w:eastAsia="宋体" w:hAnsi="Times New Roman" w:cs="Times New Roman"/>
          <w:sz w:val="20"/>
          <w:szCs w:val="20"/>
        </w:rPr>
        <w:t xml:space="preserve"> &lt; 0.05 were considered statistically significant. Pathways with nominal </w:t>
      </w:r>
      <w:r w:rsidRPr="00DD065D">
        <w:rPr>
          <w:rFonts w:ascii="Times New Roman" w:eastAsia="宋体" w:hAnsi="Times New Roman" w:cs="Times New Roman"/>
          <w:i/>
          <w:iCs/>
          <w:sz w:val="20"/>
          <w:szCs w:val="20"/>
        </w:rPr>
        <w:t>P</w:t>
      </w:r>
      <w:r w:rsidRPr="00DD065D">
        <w:rPr>
          <w:rFonts w:ascii="Times New Roman" w:eastAsia="宋体" w:hAnsi="Times New Roman" w:cs="Times New Roman"/>
          <w:sz w:val="20"/>
          <w:szCs w:val="20"/>
        </w:rPr>
        <w:t xml:space="preserve"> &lt; 0.05 were additionally displayed for visualization. Venn analysis was used to identify pathways shared between the two omics layers.</w:t>
      </w:r>
    </w:p>
    <w:p w14:paraId="299DC39E" w14:textId="066CB3CD" w:rsidR="00E1708A" w:rsidRPr="00DD065D" w:rsidRDefault="00E1708A" w:rsidP="000715D9">
      <w:pPr>
        <w:spacing w:line="240" w:lineRule="auto"/>
        <w:jc w:val="both"/>
        <w:rPr>
          <w:rFonts w:ascii="Times New Roman" w:eastAsia="宋体" w:hAnsi="Times New Roman" w:cs="Times New Roman"/>
          <w:sz w:val="20"/>
          <w:szCs w:val="20"/>
        </w:rPr>
      </w:pPr>
      <w:r w:rsidRPr="00DD065D">
        <w:rPr>
          <w:rFonts w:ascii="Times New Roman" w:eastAsia="宋体" w:hAnsi="Times New Roman" w:cs="Times New Roman"/>
          <w:sz w:val="20"/>
          <w:szCs w:val="20"/>
        </w:rPr>
        <w:t>Proteins and metabolites assigned to overlapping pathways were visualized using KEGG Markup Language (KGML)-based pathway mapping. KGML-derived networks represent annotation-based pathway associations and were not interpreted as experimentally validated regulatory interactions.</w:t>
      </w:r>
    </w:p>
    <w:p w14:paraId="24663F4B" w14:textId="77777777" w:rsidR="00E1708A" w:rsidRPr="00DD065D" w:rsidRDefault="00E1708A" w:rsidP="000715D9">
      <w:pPr>
        <w:spacing w:line="240" w:lineRule="auto"/>
        <w:jc w:val="both"/>
        <w:rPr>
          <w:rFonts w:ascii="Times New Roman" w:eastAsia="宋体" w:hAnsi="Times New Roman" w:cs="Times New Roman"/>
          <w:b/>
          <w:bCs/>
          <w:sz w:val="20"/>
          <w:szCs w:val="20"/>
        </w:rPr>
      </w:pPr>
      <w:r w:rsidRPr="00DD065D">
        <w:rPr>
          <w:rFonts w:ascii="Times New Roman" w:eastAsia="宋体" w:hAnsi="Times New Roman" w:cs="Times New Roman"/>
          <w:b/>
          <w:bCs/>
          <w:sz w:val="20"/>
          <w:szCs w:val="20"/>
        </w:rPr>
        <w:t>Transcriptome–proteome–metabolome integration</w:t>
      </w:r>
    </w:p>
    <w:p w14:paraId="0196F13F" w14:textId="77777777" w:rsidR="00E1708A" w:rsidRPr="00DD065D" w:rsidRDefault="00E1708A" w:rsidP="000715D9">
      <w:pPr>
        <w:spacing w:line="240" w:lineRule="auto"/>
        <w:jc w:val="both"/>
        <w:rPr>
          <w:rFonts w:ascii="Times New Roman" w:eastAsia="宋体" w:hAnsi="Times New Roman" w:cs="Times New Roman"/>
          <w:sz w:val="20"/>
          <w:szCs w:val="20"/>
        </w:rPr>
      </w:pPr>
      <w:r w:rsidRPr="00DD065D">
        <w:rPr>
          <w:rFonts w:ascii="Times New Roman" w:eastAsia="宋体" w:hAnsi="Times New Roman" w:cs="Times New Roman"/>
          <w:sz w:val="20"/>
          <w:szCs w:val="20"/>
        </w:rPr>
        <w:t>Transcriptomic, proteomic, and metabolomic datasets were integrated at the functional pathway level separately for each cultivar. Venn analysis was used to summarize shared and omics-specific KEGG pathway annotations among the three omics layers. KEGG pathway profiles were further compared to identify pathways represented across multiple datasets.</w:t>
      </w:r>
    </w:p>
    <w:p w14:paraId="11C10B38" w14:textId="573975CA" w:rsidR="00376697" w:rsidRPr="00DD065D" w:rsidRDefault="00E1708A" w:rsidP="000715D9">
      <w:pPr>
        <w:spacing w:line="240" w:lineRule="auto"/>
        <w:jc w:val="both"/>
        <w:rPr>
          <w:rFonts w:ascii="Times New Roman" w:eastAsia="宋体" w:hAnsi="Times New Roman" w:cs="Times New Roman"/>
          <w:sz w:val="20"/>
          <w:szCs w:val="20"/>
        </w:rPr>
      </w:pPr>
      <w:r w:rsidRPr="00DD065D">
        <w:rPr>
          <w:rFonts w:ascii="Times New Roman" w:eastAsia="宋体" w:hAnsi="Times New Roman" w:cs="Times New Roman"/>
          <w:sz w:val="20"/>
          <w:szCs w:val="20"/>
        </w:rPr>
        <w:t>Pathway-associated genes, proteins, and metabolites were assembled into cross-omic association networks based on shared KEGG pathway annotations. Network nodes represented genes, proteins, and metabolites, whereas edges represented pathway-based or statistical associations. These networks were used to visualize cross-omic relationships and were not interpreted as experimentally validated regulatory networks.</w:t>
      </w:r>
    </w:p>
    <w:bookmarkEnd w:id="0"/>
    <w:p w14:paraId="642C781E" w14:textId="7086155C" w:rsidR="00B72A30" w:rsidRPr="00DD065D" w:rsidRDefault="007541BF" w:rsidP="004417D5">
      <w:pPr>
        <w:spacing w:line="240" w:lineRule="auto"/>
        <w:jc w:val="both"/>
        <w:rPr>
          <w:rFonts w:ascii="Times New Roman" w:eastAsia="宋体" w:hAnsi="Times New Roman" w:cs="Times New Roman"/>
          <w:b/>
          <w:sz w:val="20"/>
          <w:szCs w:val="20"/>
        </w:rPr>
      </w:pPr>
      <w:r w:rsidRPr="00DD065D">
        <w:rPr>
          <w:rFonts w:ascii="Times New Roman" w:eastAsia="宋体" w:hAnsi="Times New Roman" w:cs="Times New Roman"/>
          <w:b/>
          <w:sz w:val="20"/>
          <w:szCs w:val="20"/>
        </w:rPr>
        <w:t>References</w:t>
      </w:r>
    </w:p>
    <w:p w14:paraId="5E4D8642" w14:textId="77777777" w:rsidR="00A50921" w:rsidRPr="00DD065D" w:rsidRDefault="00A50921" w:rsidP="00A50921">
      <w:pPr>
        <w:pStyle w:val="a9"/>
        <w:numPr>
          <w:ilvl w:val="0"/>
          <w:numId w:val="2"/>
        </w:numPr>
        <w:jc w:val="both"/>
        <w:rPr>
          <w:rFonts w:ascii="Times New Roman" w:hAnsi="Times New Roman" w:cs="Times New Roman"/>
          <w:sz w:val="20"/>
          <w:szCs w:val="20"/>
        </w:rPr>
      </w:pPr>
      <w:r w:rsidRPr="00DD065D">
        <w:rPr>
          <w:rFonts w:ascii="Times New Roman" w:hAnsi="Times New Roman" w:cs="Times New Roman"/>
          <w:sz w:val="20"/>
          <w:szCs w:val="20"/>
        </w:rPr>
        <w:t xml:space="preserve">Kuang L, Shen Q, Chen L, Ye L, Yan T, Chen ZH, Waugh R, Li Q, Huang L, Cai S, Fu L, Xing P, Wang K, Shao J, Wu F, Jiang L, Wu D, Zhang G. The genome and gene editing system of sea barleygrass provide a novel platform for cereal domestication and stress tolerance studies. </w:t>
      </w:r>
      <w:r w:rsidRPr="00DD065D">
        <w:rPr>
          <w:rFonts w:ascii="Times New Roman" w:hAnsi="Times New Roman" w:cs="Times New Roman"/>
          <w:i/>
          <w:iCs/>
          <w:sz w:val="20"/>
          <w:szCs w:val="20"/>
        </w:rPr>
        <w:t>Plant Communications</w:t>
      </w:r>
      <w:r w:rsidRPr="00DD065D">
        <w:rPr>
          <w:rFonts w:ascii="Times New Roman" w:hAnsi="Times New Roman" w:cs="Times New Roman"/>
          <w:sz w:val="20"/>
          <w:szCs w:val="20"/>
        </w:rPr>
        <w:t xml:space="preserve">. 2022;3(5):100333. </w:t>
      </w:r>
      <w:hyperlink r:id="rId7" w:tgtFrame="_new" w:history="1">
        <w:r w:rsidRPr="00DD065D">
          <w:rPr>
            <w:rStyle w:val="ae"/>
            <w:rFonts w:ascii="Times New Roman" w:hAnsi="Times New Roman" w:cs="Times New Roman"/>
            <w:color w:val="auto"/>
            <w:sz w:val="20"/>
            <w:szCs w:val="20"/>
          </w:rPr>
          <w:t>https://doi.org/10.1016/j.xplc.2022.100333</w:t>
        </w:r>
      </w:hyperlink>
      <w:r w:rsidRPr="00DD065D">
        <w:rPr>
          <w:rFonts w:ascii="Times New Roman" w:hAnsi="Times New Roman" w:cs="Times New Roman"/>
          <w:sz w:val="20"/>
          <w:szCs w:val="20"/>
        </w:rPr>
        <w:t>.</w:t>
      </w:r>
    </w:p>
    <w:p w14:paraId="5F24704F" w14:textId="77777777" w:rsidR="00A50921" w:rsidRPr="00DD065D" w:rsidRDefault="00A50921" w:rsidP="00A50921">
      <w:pPr>
        <w:pStyle w:val="a9"/>
        <w:numPr>
          <w:ilvl w:val="0"/>
          <w:numId w:val="2"/>
        </w:numPr>
        <w:jc w:val="both"/>
        <w:rPr>
          <w:rFonts w:ascii="Times New Roman" w:hAnsi="Times New Roman" w:cs="Times New Roman"/>
          <w:sz w:val="20"/>
          <w:szCs w:val="20"/>
        </w:rPr>
      </w:pPr>
      <w:r w:rsidRPr="00DD065D">
        <w:rPr>
          <w:rFonts w:ascii="Times New Roman" w:hAnsi="Times New Roman" w:cs="Times New Roman"/>
          <w:sz w:val="20"/>
          <w:szCs w:val="20"/>
        </w:rPr>
        <w:t xml:space="preserve">Kim D, Langmead B, Salzberg SL. HISAT: a fast spliced aligner with low memory requirements. </w:t>
      </w:r>
      <w:r w:rsidRPr="00DD065D">
        <w:rPr>
          <w:rFonts w:ascii="Times New Roman" w:hAnsi="Times New Roman" w:cs="Times New Roman"/>
          <w:i/>
          <w:iCs/>
          <w:sz w:val="20"/>
          <w:szCs w:val="20"/>
        </w:rPr>
        <w:lastRenderedPageBreak/>
        <w:t>Nature Methods</w:t>
      </w:r>
      <w:r w:rsidRPr="00DD065D">
        <w:rPr>
          <w:rFonts w:ascii="Times New Roman" w:hAnsi="Times New Roman" w:cs="Times New Roman"/>
          <w:sz w:val="20"/>
          <w:szCs w:val="20"/>
        </w:rPr>
        <w:t xml:space="preserve">. 2015;12(4):357–360. </w:t>
      </w:r>
      <w:hyperlink r:id="rId8" w:tgtFrame="_new" w:history="1">
        <w:r w:rsidRPr="00DD065D">
          <w:rPr>
            <w:rStyle w:val="ae"/>
            <w:rFonts w:ascii="Times New Roman" w:hAnsi="Times New Roman" w:cs="Times New Roman"/>
            <w:color w:val="auto"/>
            <w:sz w:val="20"/>
            <w:szCs w:val="20"/>
          </w:rPr>
          <w:t>https://doi.org/10.1038/nmeth.3317</w:t>
        </w:r>
      </w:hyperlink>
      <w:r w:rsidRPr="00DD065D">
        <w:rPr>
          <w:rFonts w:ascii="Times New Roman" w:hAnsi="Times New Roman" w:cs="Times New Roman"/>
          <w:sz w:val="20"/>
          <w:szCs w:val="20"/>
        </w:rPr>
        <w:t>.</w:t>
      </w:r>
    </w:p>
    <w:p w14:paraId="13F57AD7" w14:textId="77777777" w:rsidR="00A50921" w:rsidRPr="00DD065D" w:rsidRDefault="00A50921" w:rsidP="00A50921">
      <w:pPr>
        <w:pStyle w:val="a9"/>
        <w:numPr>
          <w:ilvl w:val="0"/>
          <w:numId w:val="2"/>
        </w:numPr>
        <w:jc w:val="both"/>
        <w:rPr>
          <w:rFonts w:ascii="Times New Roman" w:hAnsi="Times New Roman" w:cs="Times New Roman"/>
          <w:sz w:val="20"/>
          <w:szCs w:val="20"/>
        </w:rPr>
      </w:pPr>
      <w:r w:rsidRPr="00DD065D">
        <w:rPr>
          <w:rFonts w:ascii="Times New Roman" w:hAnsi="Times New Roman" w:cs="Times New Roman"/>
          <w:sz w:val="20"/>
          <w:szCs w:val="20"/>
        </w:rPr>
        <w:t xml:space="preserve">Li B, Dewey CN. RSEM: accurate transcript quantification from RNA-Seq data with or without a reference genome. </w:t>
      </w:r>
      <w:r w:rsidRPr="00DD065D">
        <w:rPr>
          <w:rFonts w:ascii="Times New Roman" w:hAnsi="Times New Roman" w:cs="Times New Roman"/>
          <w:i/>
          <w:iCs/>
          <w:sz w:val="20"/>
          <w:szCs w:val="20"/>
        </w:rPr>
        <w:t>BMC Bioinformatics</w:t>
      </w:r>
      <w:r w:rsidRPr="00DD065D">
        <w:rPr>
          <w:rFonts w:ascii="Times New Roman" w:hAnsi="Times New Roman" w:cs="Times New Roman"/>
          <w:sz w:val="20"/>
          <w:szCs w:val="20"/>
        </w:rPr>
        <w:t xml:space="preserve">. 2011;12:323. </w:t>
      </w:r>
      <w:hyperlink r:id="rId9" w:tgtFrame="_new" w:history="1">
        <w:r w:rsidRPr="00DD065D">
          <w:rPr>
            <w:rStyle w:val="ae"/>
            <w:rFonts w:ascii="Times New Roman" w:hAnsi="Times New Roman" w:cs="Times New Roman"/>
            <w:color w:val="auto"/>
            <w:sz w:val="20"/>
            <w:szCs w:val="20"/>
          </w:rPr>
          <w:t>https://doi.org/10.1186/1471-2105-12-323</w:t>
        </w:r>
      </w:hyperlink>
      <w:r w:rsidRPr="00DD065D">
        <w:rPr>
          <w:rFonts w:ascii="Times New Roman" w:hAnsi="Times New Roman" w:cs="Times New Roman"/>
          <w:sz w:val="20"/>
          <w:szCs w:val="20"/>
        </w:rPr>
        <w:t>.</w:t>
      </w:r>
    </w:p>
    <w:p w14:paraId="4B765269" w14:textId="77777777" w:rsidR="00A50921" w:rsidRPr="00DD065D" w:rsidRDefault="00A50921" w:rsidP="00A50921">
      <w:pPr>
        <w:pStyle w:val="a9"/>
        <w:numPr>
          <w:ilvl w:val="0"/>
          <w:numId w:val="2"/>
        </w:numPr>
        <w:jc w:val="both"/>
        <w:rPr>
          <w:rFonts w:ascii="Times New Roman" w:hAnsi="Times New Roman" w:cs="Times New Roman"/>
          <w:sz w:val="20"/>
          <w:szCs w:val="20"/>
        </w:rPr>
      </w:pPr>
      <w:r w:rsidRPr="00DD065D">
        <w:rPr>
          <w:rFonts w:ascii="Times New Roman" w:hAnsi="Times New Roman" w:cs="Times New Roman"/>
          <w:sz w:val="20"/>
          <w:szCs w:val="20"/>
        </w:rPr>
        <w:t xml:space="preserve">Love MI, Huber W, Anders S. Moderated estimation of fold change and dispersion for RNA-seq data with DESeq2. </w:t>
      </w:r>
      <w:r w:rsidRPr="00DD065D">
        <w:rPr>
          <w:rFonts w:ascii="Times New Roman" w:hAnsi="Times New Roman" w:cs="Times New Roman"/>
          <w:i/>
          <w:iCs/>
          <w:sz w:val="20"/>
          <w:szCs w:val="20"/>
        </w:rPr>
        <w:t>Genome Biology</w:t>
      </w:r>
      <w:r w:rsidRPr="00DD065D">
        <w:rPr>
          <w:rFonts w:ascii="Times New Roman" w:hAnsi="Times New Roman" w:cs="Times New Roman"/>
          <w:sz w:val="20"/>
          <w:szCs w:val="20"/>
        </w:rPr>
        <w:t xml:space="preserve">. 2014;15(12):550. </w:t>
      </w:r>
      <w:hyperlink r:id="rId10" w:tgtFrame="_new" w:history="1">
        <w:r w:rsidRPr="00DD065D">
          <w:rPr>
            <w:rStyle w:val="ae"/>
            <w:rFonts w:ascii="Times New Roman" w:hAnsi="Times New Roman" w:cs="Times New Roman"/>
            <w:color w:val="auto"/>
            <w:sz w:val="20"/>
            <w:szCs w:val="20"/>
          </w:rPr>
          <w:t>https://doi.org/10.1186/s13059-014-0550-8</w:t>
        </w:r>
      </w:hyperlink>
      <w:r w:rsidRPr="00DD065D">
        <w:rPr>
          <w:rFonts w:ascii="Times New Roman" w:hAnsi="Times New Roman" w:cs="Times New Roman"/>
          <w:sz w:val="20"/>
          <w:szCs w:val="20"/>
        </w:rPr>
        <w:t>.</w:t>
      </w:r>
    </w:p>
    <w:p w14:paraId="15446ADA" w14:textId="77777777" w:rsidR="00A50921" w:rsidRPr="00DD065D" w:rsidRDefault="00A50921" w:rsidP="00A50921">
      <w:pPr>
        <w:pStyle w:val="a9"/>
        <w:numPr>
          <w:ilvl w:val="0"/>
          <w:numId w:val="2"/>
        </w:numPr>
        <w:jc w:val="both"/>
        <w:rPr>
          <w:rFonts w:ascii="Times New Roman" w:hAnsi="Times New Roman" w:cs="Times New Roman"/>
          <w:sz w:val="20"/>
          <w:szCs w:val="20"/>
        </w:rPr>
      </w:pPr>
      <w:r w:rsidRPr="00DD065D">
        <w:rPr>
          <w:rFonts w:ascii="Times New Roman" w:hAnsi="Times New Roman" w:cs="Times New Roman"/>
          <w:sz w:val="20"/>
          <w:szCs w:val="20"/>
        </w:rPr>
        <w:t xml:space="preserve">Klopfenstein DV, Zhang L, Pedersen BS, Ramírez F, Warwick Vesztrocy A, Naldi A, Mungall CJ, Yunes JM, Botvinnik O, Weigel M, Dampier W, Dessimoz C, Flick P, Tang H. GOATOOLS: a Python library for Gene Ontology analyses. </w:t>
      </w:r>
      <w:r w:rsidRPr="00DD065D">
        <w:rPr>
          <w:rFonts w:ascii="Times New Roman" w:hAnsi="Times New Roman" w:cs="Times New Roman"/>
          <w:i/>
          <w:iCs/>
          <w:sz w:val="20"/>
          <w:szCs w:val="20"/>
        </w:rPr>
        <w:t>Scientific Reports</w:t>
      </w:r>
      <w:r w:rsidRPr="00DD065D">
        <w:rPr>
          <w:rFonts w:ascii="Times New Roman" w:hAnsi="Times New Roman" w:cs="Times New Roman"/>
          <w:sz w:val="20"/>
          <w:szCs w:val="20"/>
        </w:rPr>
        <w:t xml:space="preserve">. 2018;8(1):10872. </w:t>
      </w:r>
      <w:hyperlink r:id="rId11" w:tgtFrame="_new" w:history="1">
        <w:r w:rsidRPr="00DD065D">
          <w:rPr>
            <w:rStyle w:val="ae"/>
            <w:rFonts w:ascii="Times New Roman" w:hAnsi="Times New Roman" w:cs="Times New Roman"/>
            <w:color w:val="auto"/>
            <w:sz w:val="20"/>
            <w:szCs w:val="20"/>
          </w:rPr>
          <w:t>https://doi.org/10.1038/s41598-018-28948-z</w:t>
        </w:r>
      </w:hyperlink>
      <w:r w:rsidRPr="00DD065D">
        <w:rPr>
          <w:rFonts w:ascii="Times New Roman" w:hAnsi="Times New Roman" w:cs="Times New Roman"/>
          <w:sz w:val="20"/>
          <w:szCs w:val="20"/>
        </w:rPr>
        <w:t>.</w:t>
      </w:r>
    </w:p>
    <w:p w14:paraId="0246EFE2" w14:textId="1A51F190" w:rsidR="00A50921" w:rsidRPr="00DD065D" w:rsidRDefault="00A50921" w:rsidP="00A50921">
      <w:pPr>
        <w:pStyle w:val="a9"/>
        <w:numPr>
          <w:ilvl w:val="0"/>
          <w:numId w:val="2"/>
        </w:numPr>
        <w:jc w:val="both"/>
        <w:rPr>
          <w:rFonts w:ascii="Times New Roman" w:hAnsi="Times New Roman" w:cs="Times New Roman"/>
          <w:sz w:val="20"/>
          <w:szCs w:val="20"/>
        </w:rPr>
      </w:pPr>
      <w:r w:rsidRPr="00DD065D">
        <w:rPr>
          <w:rFonts w:ascii="Times New Roman" w:hAnsi="Times New Roman" w:cs="Times New Roman"/>
          <w:sz w:val="20"/>
          <w:szCs w:val="20"/>
        </w:rPr>
        <w:t xml:space="preserve">Xie C, Mao X, Huang J, Ding Y, Wu J, Dong S, Kong L, Gao G, Li CY, Wei L. KOBAS 2.0: a web server for annotation and identification of enriched pathways and diseases. </w:t>
      </w:r>
      <w:r w:rsidRPr="00DD065D">
        <w:rPr>
          <w:rFonts w:ascii="Times New Roman" w:hAnsi="Times New Roman" w:cs="Times New Roman"/>
          <w:i/>
          <w:iCs/>
          <w:sz w:val="20"/>
          <w:szCs w:val="20"/>
        </w:rPr>
        <w:t>Nucleic Acids Research</w:t>
      </w:r>
      <w:r w:rsidRPr="00DD065D">
        <w:rPr>
          <w:rFonts w:ascii="Times New Roman" w:hAnsi="Times New Roman" w:cs="Times New Roman"/>
          <w:sz w:val="20"/>
          <w:szCs w:val="20"/>
        </w:rPr>
        <w:t xml:space="preserve">. 2011;39(Web Server issue):W316–W322. </w:t>
      </w:r>
      <w:hyperlink r:id="rId12" w:tgtFrame="_new" w:history="1">
        <w:r w:rsidRPr="00DD065D">
          <w:rPr>
            <w:rStyle w:val="ae"/>
            <w:rFonts w:ascii="Times New Roman" w:hAnsi="Times New Roman" w:cs="Times New Roman"/>
            <w:color w:val="auto"/>
            <w:sz w:val="20"/>
            <w:szCs w:val="20"/>
          </w:rPr>
          <w:t>https://doi.org/10.1093/nar/gkr483</w:t>
        </w:r>
      </w:hyperlink>
      <w:r w:rsidRPr="00DD065D">
        <w:rPr>
          <w:rFonts w:ascii="Times New Roman" w:hAnsi="Times New Roman" w:cs="Times New Roman"/>
          <w:sz w:val="20"/>
          <w:szCs w:val="20"/>
        </w:rPr>
        <w:t>.</w:t>
      </w:r>
    </w:p>
    <w:p w14:paraId="766D6912" w14:textId="77777777" w:rsidR="00A50921" w:rsidRPr="00DD065D" w:rsidRDefault="00A50921" w:rsidP="00A50921">
      <w:pPr>
        <w:pStyle w:val="a9"/>
        <w:numPr>
          <w:ilvl w:val="0"/>
          <w:numId w:val="2"/>
        </w:numPr>
        <w:jc w:val="both"/>
        <w:rPr>
          <w:rFonts w:ascii="Times New Roman" w:hAnsi="Times New Roman" w:cs="Times New Roman"/>
          <w:sz w:val="20"/>
          <w:szCs w:val="20"/>
        </w:rPr>
      </w:pPr>
      <w:r w:rsidRPr="00DD065D">
        <w:rPr>
          <w:rFonts w:ascii="Times New Roman" w:hAnsi="Times New Roman" w:cs="Times New Roman"/>
          <w:sz w:val="20"/>
          <w:szCs w:val="20"/>
        </w:rPr>
        <w:t xml:space="preserve">Quevillon E, Silventoinen V, Pillai S, Harte N, Mulder N, Apweiler R, Lopez R. InterProScan: protein domains identifier. </w:t>
      </w:r>
      <w:r w:rsidRPr="00DD065D">
        <w:rPr>
          <w:rFonts w:ascii="Times New Roman" w:hAnsi="Times New Roman" w:cs="Times New Roman"/>
          <w:i/>
          <w:iCs/>
          <w:sz w:val="20"/>
          <w:szCs w:val="20"/>
        </w:rPr>
        <w:t>Nucleic Acids Research</w:t>
      </w:r>
      <w:r w:rsidRPr="00DD065D">
        <w:rPr>
          <w:rFonts w:ascii="Times New Roman" w:hAnsi="Times New Roman" w:cs="Times New Roman"/>
          <w:sz w:val="20"/>
          <w:szCs w:val="20"/>
        </w:rPr>
        <w:t xml:space="preserve">. 2005;33(Web Server issue):W116–W120. </w:t>
      </w:r>
      <w:hyperlink r:id="rId13" w:tgtFrame="_new" w:history="1">
        <w:r w:rsidRPr="00DD065D">
          <w:rPr>
            <w:rStyle w:val="ae"/>
            <w:rFonts w:ascii="Times New Roman" w:hAnsi="Times New Roman" w:cs="Times New Roman"/>
            <w:color w:val="auto"/>
            <w:sz w:val="20"/>
            <w:szCs w:val="20"/>
          </w:rPr>
          <w:t>https://doi.org/10.1093/nar/gki442</w:t>
        </w:r>
      </w:hyperlink>
      <w:r w:rsidRPr="00DD065D">
        <w:rPr>
          <w:rFonts w:ascii="Times New Roman" w:hAnsi="Times New Roman" w:cs="Times New Roman"/>
          <w:sz w:val="20"/>
          <w:szCs w:val="20"/>
        </w:rPr>
        <w:t>.</w:t>
      </w:r>
    </w:p>
    <w:p w14:paraId="5E64CBAE" w14:textId="77777777" w:rsidR="00A50921" w:rsidRPr="00DD065D" w:rsidRDefault="00A50921" w:rsidP="00A50921">
      <w:pPr>
        <w:pStyle w:val="a9"/>
        <w:numPr>
          <w:ilvl w:val="0"/>
          <w:numId w:val="2"/>
        </w:numPr>
        <w:jc w:val="both"/>
        <w:rPr>
          <w:rFonts w:ascii="Times New Roman" w:hAnsi="Times New Roman" w:cs="Times New Roman"/>
          <w:sz w:val="20"/>
          <w:szCs w:val="20"/>
        </w:rPr>
      </w:pPr>
      <w:r w:rsidRPr="00DD065D">
        <w:rPr>
          <w:rFonts w:ascii="Times New Roman" w:hAnsi="Times New Roman" w:cs="Times New Roman"/>
          <w:sz w:val="20"/>
          <w:szCs w:val="20"/>
        </w:rPr>
        <w:t xml:space="preserve">Wu J, Xie X, Liu Y, He J, Benitez R, Buckanovich RJ, Lubman DM. Identification and confirmation of differentially expressed fucosylated glycoproteins in the serum of ovarian cancer patients using a lectin array and LC-MS/MS. </w:t>
      </w:r>
      <w:r w:rsidRPr="00DD065D">
        <w:rPr>
          <w:rFonts w:ascii="Times New Roman" w:hAnsi="Times New Roman" w:cs="Times New Roman"/>
          <w:i/>
          <w:iCs/>
          <w:sz w:val="20"/>
          <w:szCs w:val="20"/>
        </w:rPr>
        <w:t>Journal of Proteome Research</w:t>
      </w:r>
      <w:r w:rsidRPr="00DD065D">
        <w:rPr>
          <w:rFonts w:ascii="Times New Roman" w:hAnsi="Times New Roman" w:cs="Times New Roman"/>
          <w:sz w:val="20"/>
          <w:szCs w:val="20"/>
        </w:rPr>
        <w:t xml:space="preserve">. 2012;11(9):4541–4552. </w:t>
      </w:r>
      <w:hyperlink r:id="rId14" w:tgtFrame="_new" w:history="1">
        <w:r w:rsidRPr="00DD065D">
          <w:rPr>
            <w:rStyle w:val="ae"/>
            <w:rFonts w:ascii="Times New Roman" w:hAnsi="Times New Roman" w:cs="Times New Roman"/>
            <w:color w:val="auto"/>
            <w:sz w:val="20"/>
            <w:szCs w:val="20"/>
          </w:rPr>
          <w:t>https://doi.org/10.1021/pr300330z</w:t>
        </w:r>
      </w:hyperlink>
      <w:r w:rsidRPr="00DD065D">
        <w:rPr>
          <w:rFonts w:ascii="Times New Roman" w:hAnsi="Times New Roman" w:cs="Times New Roman"/>
          <w:sz w:val="20"/>
          <w:szCs w:val="20"/>
        </w:rPr>
        <w:t>.</w:t>
      </w:r>
    </w:p>
    <w:p w14:paraId="5BE6B198" w14:textId="77777777" w:rsidR="00A50921" w:rsidRPr="00DD065D" w:rsidRDefault="00A50921" w:rsidP="00A50921">
      <w:pPr>
        <w:pStyle w:val="a9"/>
        <w:numPr>
          <w:ilvl w:val="0"/>
          <w:numId w:val="2"/>
        </w:numPr>
        <w:jc w:val="both"/>
        <w:rPr>
          <w:rFonts w:ascii="Times New Roman" w:hAnsi="Times New Roman" w:cs="Times New Roman"/>
          <w:sz w:val="20"/>
          <w:szCs w:val="20"/>
        </w:rPr>
      </w:pPr>
      <w:r w:rsidRPr="00DD065D">
        <w:rPr>
          <w:rFonts w:ascii="Times New Roman" w:hAnsi="Times New Roman" w:cs="Times New Roman"/>
          <w:sz w:val="20"/>
          <w:szCs w:val="20"/>
        </w:rPr>
        <w:t xml:space="preserve">Zhang J, Diao F, Hao B, Xu L, Jia B, Hou Y, Ding S, Guo W. Multiomics reveals </w:t>
      </w:r>
      <w:r w:rsidRPr="00DD065D">
        <w:rPr>
          <w:rFonts w:ascii="Times New Roman" w:hAnsi="Times New Roman" w:cs="Times New Roman"/>
          <w:i/>
          <w:iCs/>
          <w:sz w:val="20"/>
          <w:szCs w:val="20"/>
        </w:rPr>
        <w:t>Claroideoglomus etunicatum</w:t>
      </w:r>
      <w:r w:rsidRPr="00DD065D">
        <w:rPr>
          <w:rFonts w:ascii="Times New Roman" w:hAnsi="Times New Roman" w:cs="Times New Roman"/>
          <w:sz w:val="20"/>
          <w:szCs w:val="20"/>
        </w:rPr>
        <w:t xml:space="preserve"> regulates plant hormone signal transduction, photosynthesis and La compartmentalization in maize to promote growth under La stress. </w:t>
      </w:r>
      <w:r w:rsidRPr="00DD065D">
        <w:rPr>
          <w:rFonts w:ascii="Times New Roman" w:hAnsi="Times New Roman" w:cs="Times New Roman"/>
          <w:i/>
          <w:iCs/>
          <w:sz w:val="20"/>
          <w:szCs w:val="20"/>
        </w:rPr>
        <w:t>Ecotoxicology and Environmental Safety</w:t>
      </w:r>
      <w:r w:rsidRPr="00DD065D">
        <w:rPr>
          <w:rFonts w:ascii="Times New Roman" w:hAnsi="Times New Roman" w:cs="Times New Roman"/>
          <w:sz w:val="20"/>
          <w:szCs w:val="20"/>
        </w:rPr>
        <w:t xml:space="preserve">. 2023;262:115128. </w:t>
      </w:r>
      <w:hyperlink r:id="rId15" w:tgtFrame="_new" w:history="1">
        <w:r w:rsidRPr="00DD065D">
          <w:rPr>
            <w:rStyle w:val="ae"/>
            <w:rFonts w:ascii="Times New Roman" w:hAnsi="Times New Roman" w:cs="Times New Roman"/>
            <w:color w:val="auto"/>
            <w:sz w:val="20"/>
            <w:szCs w:val="20"/>
          </w:rPr>
          <w:t>https://doi.org/10.1016/j.ecoenv.2023.115128</w:t>
        </w:r>
      </w:hyperlink>
      <w:r w:rsidRPr="00DD065D">
        <w:rPr>
          <w:rFonts w:ascii="Times New Roman" w:hAnsi="Times New Roman" w:cs="Times New Roman"/>
          <w:sz w:val="20"/>
          <w:szCs w:val="20"/>
        </w:rPr>
        <w:t>.</w:t>
      </w:r>
    </w:p>
    <w:p w14:paraId="3C37F6D3" w14:textId="77777777" w:rsidR="00A50921" w:rsidRPr="00DD065D" w:rsidRDefault="00A50921" w:rsidP="00A50921">
      <w:pPr>
        <w:pStyle w:val="a9"/>
        <w:numPr>
          <w:ilvl w:val="0"/>
          <w:numId w:val="2"/>
        </w:numPr>
        <w:jc w:val="both"/>
        <w:rPr>
          <w:rFonts w:ascii="Times New Roman" w:hAnsi="Times New Roman" w:cs="Times New Roman"/>
          <w:sz w:val="20"/>
          <w:szCs w:val="20"/>
        </w:rPr>
      </w:pPr>
      <w:r w:rsidRPr="00DD065D">
        <w:rPr>
          <w:rFonts w:ascii="Times New Roman" w:hAnsi="Times New Roman" w:cs="Times New Roman"/>
          <w:sz w:val="20"/>
          <w:szCs w:val="20"/>
        </w:rPr>
        <w:t xml:space="preserve">Li Y, Qi X. Tryptophan pretreatment adjusts transcriptome and metabolome profiles to alleviate cadmium toxicity in </w:t>
      </w:r>
      <w:r w:rsidRPr="00DD065D">
        <w:rPr>
          <w:rFonts w:ascii="Times New Roman" w:hAnsi="Times New Roman" w:cs="Times New Roman"/>
          <w:i/>
          <w:iCs/>
          <w:sz w:val="20"/>
          <w:szCs w:val="20"/>
        </w:rPr>
        <w:t>Arabidopsis</w:t>
      </w:r>
      <w:r w:rsidRPr="00DD065D">
        <w:rPr>
          <w:rFonts w:ascii="Times New Roman" w:hAnsi="Times New Roman" w:cs="Times New Roman"/>
          <w:sz w:val="20"/>
          <w:szCs w:val="20"/>
        </w:rPr>
        <w:t xml:space="preserve">. </w:t>
      </w:r>
      <w:r w:rsidRPr="00DD065D">
        <w:rPr>
          <w:rFonts w:ascii="Times New Roman" w:hAnsi="Times New Roman" w:cs="Times New Roman"/>
          <w:i/>
          <w:iCs/>
          <w:sz w:val="20"/>
          <w:szCs w:val="20"/>
        </w:rPr>
        <w:t>Journal of Hazardous Materials</w:t>
      </w:r>
      <w:r w:rsidRPr="00DD065D">
        <w:rPr>
          <w:rFonts w:ascii="Times New Roman" w:hAnsi="Times New Roman" w:cs="Times New Roman"/>
          <w:sz w:val="20"/>
          <w:szCs w:val="20"/>
        </w:rPr>
        <w:t xml:space="preserve">. 2023;452:131226. </w:t>
      </w:r>
      <w:hyperlink r:id="rId16" w:tgtFrame="_new" w:history="1">
        <w:r w:rsidRPr="00DD065D">
          <w:rPr>
            <w:rStyle w:val="ae"/>
            <w:rFonts w:ascii="Times New Roman" w:hAnsi="Times New Roman" w:cs="Times New Roman"/>
            <w:color w:val="auto"/>
            <w:sz w:val="20"/>
            <w:szCs w:val="20"/>
          </w:rPr>
          <w:t>https://doi.org/10.1016/j.jhazmat.2023.131226</w:t>
        </w:r>
      </w:hyperlink>
      <w:r w:rsidRPr="00DD065D">
        <w:rPr>
          <w:rFonts w:ascii="Times New Roman" w:hAnsi="Times New Roman" w:cs="Times New Roman"/>
          <w:sz w:val="20"/>
          <w:szCs w:val="20"/>
        </w:rPr>
        <w:t>.</w:t>
      </w:r>
    </w:p>
    <w:p w14:paraId="36DEEEDC" w14:textId="68BE443A" w:rsidR="00A50921" w:rsidRPr="00DD065D" w:rsidRDefault="00A50921" w:rsidP="00A50921">
      <w:pPr>
        <w:pStyle w:val="a9"/>
        <w:numPr>
          <w:ilvl w:val="0"/>
          <w:numId w:val="2"/>
        </w:numPr>
        <w:jc w:val="both"/>
        <w:rPr>
          <w:rFonts w:ascii="Times New Roman" w:hAnsi="Times New Roman" w:cs="Times New Roman"/>
          <w:sz w:val="20"/>
          <w:szCs w:val="20"/>
        </w:rPr>
      </w:pPr>
      <w:r w:rsidRPr="00DD065D">
        <w:rPr>
          <w:rFonts w:ascii="Times New Roman" w:hAnsi="Times New Roman" w:cs="Times New Roman"/>
          <w:sz w:val="20"/>
          <w:szCs w:val="20"/>
        </w:rPr>
        <w:t xml:space="preserve">Robinson MD, McCarthy DJ, Smyth GK. edgeR: a Bioconductor package for differential expression analysis of digital gene expression data. </w:t>
      </w:r>
      <w:r w:rsidRPr="00DD065D">
        <w:rPr>
          <w:rFonts w:ascii="Times New Roman" w:hAnsi="Times New Roman" w:cs="Times New Roman"/>
          <w:i/>
          <w:iCs/>
          <w:sz w:val="20"/>
          <w:szCs w:val="20"/>
        </w:rPr>
        <w:t>Bioinformatics</w:t>
      </w:r>
      <w:r w:rsidRPr="00DD065D">
        <w:rPr>
          <w:rFonts w:ascii="Times New Roman" w:hAnsi="Times New Roman" w:cs="Times New Roman"/>
          <w:sz w:val="20"/>
          <w:szCs w:val="20"/>
        </w:rPr>
        <w:t xml:space="preserve">. 2010;26(1):139–140. </w:t>
      </w:r>
      <w:hyperlink r:id="rId17" w:tgtFrame="_new" w:history="1">
        <w:r w:rsidRPr="00DD065D">
          <w:rPr>
            <w:rStyle w:val="ae"/>
            <w:rFonts w:ascii="Times New Roman" w:hAnsi="Times New Roman" w:cs="Times New Roman"/>
            <w:color w:val="auto"/>
            <w:sz w:val="20"/>
            <w:szCs w:val="20"/>
          </w:rPr>
          <w:t>https://doi.org/10.1093/bioinformatics/btp616</w:t>
        </w:r>
      </w:hyperlink>
      <w:r w:rsidRPr="00DD065D">
        <w:rPr>
          <w:rFonts w:ascii="Times New Roman" w:hAnsi="Times New Roman" w:cs="Times New Roman"/>
          <w:sz w:val="20"/>
          <w:szCs w:val="20"/>
        </w:rPr>
        <w:t>.</w:t>
      </w:r>
    </w:p>
    <w:p w14:paraId="4180D4A4" w14:textId="20E6F45E" w:rsidR="00C02C13" w:rsidRPr="00DD065D" w:rsidRDefault="00A50921" w:rsidP="004417D5">
      <w:pPr>
        <w:pStyle w:val="a9"/>
        <w:numPr>
          <w:ilvl w:val="0"/>
          <w:numId w:val="2"/>
        </w:numPr>
        <w:jc w:val="both"/>
        <w:rPr>
          <w:rFonts w:ascii="Times New Roman" w:hAnsi="Times New Roman" w:cs="Times New Roman"/>
          <w:sz w:val="20"/>
          <w:szCs w:val="20"/>
        </w:rPr>
      </w:pPr>
      <w:r w:rsidRPr="00DD065D">
        <w:rPr>
          <w:rFonts w:ascii="Times New Roman" w:hAnsi="Times New Roman" w:cs="Times New Roman"/>
          <w:sz w:val="20"/>
          <w:szCs w:val="20"/>
        </w:rPr>
        <w:t xml:space="preserve">Ren Y, Yu G, Shi C, Liu L, Guo Q, Han C, Zhang D, Zhang L, Liu B, Gao H, Zeng J, Zhou Y, Qiu Y, Wei J, Luo Y, Zhu F, Li X, Wu Q, Li B, Huang H. Majorbio Cloud: a one-stop, comprehensive bioinformatic platform for multiomics analyses. </w:t>
      </w:r>
      <w:r w:rsidRPr="00DD065D">
        <w:rPr>
          <w:rFonts w:ascii="Times New Roman" w:hAnsi="Times New Roman" w:cs="Times New Roman"/>
          <w:i/>
          <w:iCs/>
          <w:sz w:val="20"/>
          <w:szCs w:val="20"/>
        </w:rPr>
        <w:t>iMeta</w:t>
      </w:r>
      <w:r w:rsidRPr="00DD065D">
        <w:rPr>
          <w:rFonts w:ascii="Times New Roman" w:hAnsi="Times New Roman" w:cs="Times New Roman"/>
          <w:sz w:val="20"/>
          <w:szCs w:val="20"/>
        </w:rPr>
        <w:t xml:space="preserve">. 2022;1(2):e12. </w:t>
      </w:r>
      <w:hyperlink r:id="rId18" w:tgtFrame="_new" w:history="1">
        <w:r w:rsidRPr="00DD065D">
          <w:rPr>
            <w:rStyle w:val="ae"/>
            <w:rFonts w:ascii="Times New Roman" w:hAnsi="Times New Roman" w:cs="Times New Roman"/>
            <w:color w:val="auto"/>
            <w:sz w:val="20"/>
            <w:szCs w:val="20"/>
          </w:rPr>
          <w:t>https://doi.org/10.1002/imt2.12</w:t>
        </w:r>
      </w:hyperlink>
      <w:r w:rsidRPr="00DD065D">
        <w:rPr>
          <w:rFonts w:ascii="Times New Roman" w:hAnsi="Times New Roman" w:cs="Times New Roman"/>
          <w:sz w:val="20"/>
          <w:szCs w:val="20"/>
        </w:rPr>
        <w:t>.</w:t>
      </w:r>
    </w:p>
    <w:sectPr w:rsidR="00C02C13" w:rsidRPr="00DD065D">
      <w:footerReference w:type="default" r:id="rId1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630A60" w14:textId="77777777" w:rsidR="002966D0" w:rsidRDefault="002966D0" w:rsidP="00B750FC">
      <w:pPr>
        <w:spacing w:after="0" w:line="240" w:lineRule="auto"/>
        <w:rPr>
          <w:rFonts w:hint="eastAsia"/>
        </w:rPr>
      </w:pPr>
      <w:r>
        <w:separator/>
      </w:r>
    </w:p>
  </w:endnote>
  <w:endnote w:type="continuationSeparator" w:id="0">
    <w:p w14:paraId="0FE19750" w14:textId="77777777" w:rsidR="002966D0" w:rsidRDefault="002966D0" w:rsidP="00B750FC">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8710797"/>
      <w:docPartObj>
        <w:docPartGallery w:val="Page Numbers (Bottom of Page)"/>
        <w:docPartUnique/>
      </w:docPartObj>
    </w:sdtPr>
    <w:sdtEndPr>
      <w:rPr>
        <w:rFonts w:ascii="Times New Roman" w:hAnsi="Times New Roman" w:cs="Times New Roman"/>
        <w:sz w:val="20"/>
        <w:szCs w:val="20"/>
      </w:rPr>
    </w:sdtEndPr>
    <w:sdtContent>
      <w:p w14:paraId="08D11CE1" w14:textId="11AED624" w:rsidR="00B750FC" w:rsidRPr="00B750FC" w:rsidRDefault="00B750FC">
        <w:pPr>
          <w:pStyle w:val="af6"/>
          <w:jc w:val="center"/>
          <w:rPr>
            <w:rFonts w:ascii="Times New Roman" w:hAnsi="Times New Roman" w:cs="Times New Roman"/>
            <w:sz w:val="20"/>
            <w:szCs w:val="20"/>
          </w:rPr>
        </w:pPr>
        <w:r w:rsidRPr="00B750FC">
          <w:rPr>
            <w:rFonts w:ascii="Times New Roman" w:hAnsi="Times New Roman" w:cs="Times New Roman"/>
            <w:sz w:val="20"/>
            <w:szCs w:val="20"/>
          </w:rPr>
          <w:fldChar w:fldCharType="begin"/>
        </w:r>
        <w:r w:rsidRPr="00B750FC">
          <w:rPr>
            <w:rFonts w:ascii="Times New Roman" w:hAnsi="Times New Roman" w:cs="Times New Roman"/>
            <w:sz w:val="20"/>
            <w:szCs w:val="20"/>
          </w:rPr>
          <w:instrText>PAGE   \* MERGEFORMAT</w:instrText>
        </w:r>
        <w:r w:rsidRPr="00B750FC">
          <w:rPr>
            <w:rFonts w:ascii="Times New Roman" w:hAnsi="Times New Roman" w:cs="Times New Roman"/>
            <w:sz w:val="20"/>
            <w:szCs w:val="20"/>
          </w:rPr>
          <w:fldChar w:fldCharType="separate"/>
        </w:r>
        <w:r w:rsidRPr="00B750FC">
          <w:rPr>
            <w:rFonts w:ascii="Times New Roman" w:hAnsi="Times New Roman" w:cs="Times New Roman"/>
            <w:sz w:val="20"/>
            <w:szCs w:val="20"/>
            <w:lang w:val="zh-CN"/>
          </w:rPr>
          <w:t>2</w:t>
        </w:r>
        <w:r w:rsidRPr="00B750FC">
          <w:rPr>
            <w:rFonts w:ascii="Times New Roman" w:hAnsi="Times New Roman" w:cs="Times New Roman"/>
            <w:sz w:val="20"/>
            <w:szCs w:val="20"/>
          </w:rPr>
          <w:fldChar w:fldCharType="end"/>
        </w:r>
      </w:p>
    </w:sdtContent>
  </w:sdt>
  <w:p w14:paraId="7E687319" w14:textId="77777777" w:rsidR="00B750FC" w:rsidRDefault="00B750FC">
    <w:pPr>
      <w:pStyle w:val="af6"/>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52B17B" w14:textId="77777777" w:rsidR="002966D0" w:rsidRDefault="002966D0" w:rsidP="00B750FC">
      <w:pPr>
        <w:spacing w:after="0" w:line="240" w:lineRule="auto"/>
        <w:rPr>
          <w:rFonts w:hint="eastAsia"/>
        </w:rPr>
      </w:pPr>
      <w:r>
        <w:separator/>
      </w:r>
    </w:p>
  </w:footnote>
  <w:footnote w:type="continuationSeparator" w:id="0">
    <w:p w14:paraId="1045A81D" w14:textId="77777777" w:rsidR="002966D0" w:rsidRDefault="002966D0" w:rsidP="00B750FC">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FE1530"/>
    <w:multiLevelType w:val="hybridMultilevel"/>
    <w:tmpl w:val="1FC4F24A"/>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15:restartNumberingAfterBreak="0">
    <w:nsid w:val="47AB1F60"/>
    <w:multiLevelType w:val="hybridMultilevel"/>
    <w:tmpl w:val="C2D62D90"/>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263729977">
    <w:abstractNumId w:val="1"/>
  </w:num>
  <w:num w:numId="2" w16cid:durableId="10464855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APA 7th&lt;/Style&gt;&lt;LeftDelim&gt;{&lt;/LeftDelim&gt;&lt;RightDelim&gt;}&lt;/RightDelim&gt;&lt;FontName&gt;等线&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8B4709"/>
    <w:rsid w:val="0005309E"/>
    <w:rsid w:val="000715D9"/>
    <w:rsid w:val="0007366D"/>
    <w:rsid w:val="000A7772"/>
    <w:rsid w:val="000B6522"/>
    <w:rsid w:val="000E3EFC"/>
    <w:rsid w:val="00127D67"/>
    <w:rsid w:val="0013150F"/>
    <w:rsid w:val="001366A4"/>
    <w:rsid w:val="001479A3"/>
    <w:rsid w:val="00154DF6"/>
    <w:rsid w:val="001A165B"/>
    <w:rsid w:val="001B3EDC"/>
    <w:rsid w:val="001C3272"/>
    <w:rsid w:val="001D5193"/>
    <w:rsid w:val="001F4C87"/>
    <w:rsid w:val="00236376"/>
    <w:rsid w:val="00284731"/>
    <w:rsid w:val="002966D0"/>
    <w:rsid w:val="002A12E8"/>
    <w:rsid w:val="002D3B56"/>
    <w:rsid w:val="00320509"/>
    <w:rsid w:val="003701BD"/>
    <w:rsid w:val="00370557"/>
    <w:rsid w:val="00376697"/>
    <w:rsid w:val="00394681"/>
    <w:rsid w:val="003C4191"/>
    <w:rsid w:val="003E6473"/>
    <w:rsid w:val="00420AA7"/>
    <w:rsid w:val="0043405C"/>
    <w:rsid w:val="004417D5"/>
    <w:rsid w:val="004555D7"/>
    <w:rsid w:val="00471500"/>
    <w:rsid w:val="004F73A5"/>
    <w:rsid w:val="00540F2D"/>
    <w:rsid w:val="0054245E"/>
    <w:rsid w:val="0054278E"/>
    <w:rsid w:val="0054654A"/>
    <w:rsid w:val="00565D8C"/>
    <w:rsid w:val="00567C36"/>
    <w:rsid w:val="005939C5"/>
    <w:rsid w:val="005B49B3"/>
    <w:rsid w:val="005C540E"/>
    <w:rsid w:val="00617683"/>
    <w:rsid w:val="006176E8"/>
    <w:rsid w:val="00625A32"/>
    <w:rsid w:val="006375E0"/>
    <w:rsid w:val="00675919"/>
    <w:rsid w:val="006808A2"/>
    <w:rsid w:val="006846D8"/>
    <w:rsid w:val="006B2C65"/>
    <w:rsid w:val="006C4096"/>
    <w:rsid w:val="006C6370"/>
    <w:rsid w:val="006F717A"/>
    <w:rsid w:val="00705227"/>
    <w:rsid w:val="00734E77"/>
    <w:rsid w:val="007541BF"/>
    <w:rsid w:val="00764109"/>
    <w:rsid w:val="00785B53"/>
    <w:rsid w:val="007B66B5"/>
    <w:rsid w:val="007D3C5A"/>
    <w:rsid w:val="008115C2"/>
    <w:rsid w:val="00840618"/>
    <w:rsid w:val="008B4709"/>
    <w:rsid w:val="008C3D84"/>
    <w:rsid w:val="008D2B93"/>
    <w:rsid w:val="008F1B13"/>
    <w:rsid w:val="00916C4C"/>
    <w:rsid w:val="0094023A"/>
    <w:rsid w:val="00940698"/>
    <w:rsid w:val="00966AE1"/>
    <w:rsid w:val="00982F5F"/>
    <w:rsid w:val="00994348"/>
    <w:rsid w:val="009D359E"/>
    <w:rsid w:val="00A1026A"/>
    <w:rsid w:val="00A14216"/>
    <w:rsid w:val="00A41254"/>
    <w:rsid w:val="00A50921"/>
    <w:rsid w:val="00A5762B"/>
    <w:rsid w:val="00A80BE2"/>
    <w:rsid w:val="00AE3F25"/>
    <w:rsid w:val="00B46D94"/>
    <w:rsid w:val="00B72A30"/>
    <w:rsid w:val="00B737B1"/>
    <w:rsid w:val="00B750FC"/>
    <w:rsid w:val="00BA2315"/>
    <w:rsid w:val="00BC296F"/>
    <w:rsid w:val="00BD67F6"/>
    <w:rsid w:val="00BF2DFF"/>
    <w:rsid w:val="00C02C13"/>
    <w:rsid w:val="00C10B65"/>
    <w:rsid w:val="00C33359"/>
    <w:rsid w:val="00C45F97"/>
    <w:rsid w:val="00C87690"/>
    <w:rsid w:val="00CC338E"/>
    <w:rsid w:val="00CC5407"/>
    <w:rsid w:val="00D50F34"/>
    <w:rsid w:val="00D83C67"/>
    <w:rsid w:val="00D874C5"/>
    <w:rsid w:val="00D903AF"/>
    <w:rsid w:val="00DD065D"/>
    <w:rsid w:val="00DD1065"/>
    <w:rsid w:val="00DE3B5D"/>
    <w:rsid w:val="00E1708A"/>
    <w:rsid w:val="00E70315"/>
    <w:rsid w:val="00E810F4"/>
    <w:rsid w:val="00EA3278"/>
    <w:rsid w:val="00EB420F"/>
    <w:rsid w:val="00EF22F0"/>
    <w:rsid w:val="00EF5E55"/>
    <w:rsid w:val="00F2140D"/>
    <w:rsid w:val="00F22611"/>
    <w:rsid w:val="00F37134"/>
    <w:rsid w:val="00F906F1"/>
    <w:rsid w:val="00FA2D46"/>
    <w:rsid w:val="00FB1759"/>
    <w:rsid w:val="00FC1BDD"/>
    <w:rsid w:val="00FF77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EA60A5"/>
  <w15:chartTrackingRefBased/>
  <w15:docId w15:val="{1D169929-505D-40AD-BE53-B104E5FA0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8B4709"/>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8B4709"/>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8B4709"/>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8B4709"/>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8B4709"/>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rsid w:val="008B4709"/>
    <w:pPr>
      <w:keepNext/>
      <w:keepLines/>
      <w:spacing w:before="40" w:after="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8B4709"/>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8B4709"/>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8B4709"/>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8B4709"/>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8B4709"/>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8B4709"/>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8B4709"/>
    <w:rPr>
      <w:rFonts w:cstheme="majorBidi"/>
      <w:color w:val="2F5496" w:themeColor="accent1" w:themeShade="BF"/>
      <w:sz w:val="28"/>
      <w:szCs w:val="28"/>
    </w:rPr>
  </w:style>
  <w:style w:type="character" w:customStyle="1" w:styleId="50">
    <w:name w:val="标题 5 字符"/>
    <w:basedOn w:val="a0"/>
    <w:link w:val="5"/>
    <w:uiPriority w:val="9"/>
    <w:semiHidden/>
    <w:rsid w:val="008B4709"/>
    <w:rPr>
      <w:rFonts w:cstheme="majorBidi"/>
      <w:color w:val="2F5496" w:themeColor="accent1" w:themeShade="BF"/>
      <w:sz w:val="24"/>
    </w:rPr>
  </w:style>
  <w:style w:type="character" w:customStyle="1" w:styleId="60">
    <w:name w:val="标题 6 字符"/>
    <w:basedOn w:val="a0"/>
    <w:link w:val="6"/>
    <w:uiPriority w:val="9"/>
    <w:semiHidden/>
    <w:rsid w:val="008B4709"/>
    <w:rPr>
      <w:rFonts w:cstheme="majorBidi"/>
      <w:b/>
      <w:bCs/>
      <w:color w:val="2F5496" w:themeColor="accent1" w:themeShade="BF"/>
    </w:rPr>
  </w:style>
  <w:style w:type="character" w:customStyle="1" w:styleId="70">
    <w:name w:val="标题 7 字符"/>
    <w:basedOn w:val="a0"/>
    <w:link w:val="7"/>
    <w:uiPriority w:val="9"/>
    <w:semiHidden/>
    <w:rsid w:val="008B4709"/>
    <w:rPr>
      <w:rFonts w:cstheme="majorBidi"/>
      <w:b/>
      <w:bCs/>
      <w:color w:val="595959" w:themeColor="text1" w:themeTint="A6"/>
    </w:rPr>
  </w:style>
  <w:style w:type="character" w:customStyle="1" w:styleId="80">
    <w:name w:val="标题 8 字符"/>
    <w:basedOn w:val="a0"/>
    <w:link w:val="8"/>
    <w:uiPriority w:val="9"/>
    <w:semiHidden/>
    <w:rsid w:val="008B4709"/>
    <w:rPr>
      <w:rFonts w:cstheme="majorBidi"/>
      <w:color w:val="595959" w:themeColor="text1" w:themeTint="A6"/>
    </w:rPr>
  </w:style>
  <w:style w:type="character" w:customStyle="1" w:styleId="90">
    <w:name w:val="标题 9 字符"/>
    <w:basedOn w:val="a0"/>
    <w:link w:val="9"/>
    <w:uiPriority w:val="9"/>
    <w:semiHidden/>
    <w:rsid w:val="008B4709"/>
    <w:rPr>
      <w:rFonts w:eastAsiaTheme="majorEastAsia" w:cstheme="majorBidi"/>
      <w:color w:val="595959" w:themeColor="text1" w:themeTint="A6"/>
    </w:rPr>
  </w:style>
  <w:style w:type="paragraph" w:styleId="a3">
    <w:name w:val="Title"/>
    <w:basedOn w:val="a"/>
    <w:next w:val="a"/>
    <w:link w:val="a4"/>
    <w:uiPriority w:val="10"/>
    <w:qFormat/>
    <w:rsid w:val="008B4709"/>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8B470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B4709"/>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8B4709"/>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B4709"/>
    <w:pPr>
      <w:spacing w:before="160"/>
      <w:jc w:val="center"/>
    </w:pPr>
    <w:rPr>
      <w:i/>
      <w:iCs/>
      <w:color w:val="404040" w:themeColor="text1" w:themeTint="BF"/>
    </w:rPr>
  </w:style>
  <w:style w:type="character" w:customStyle="1" w:styleId="a8">
    <w:name w:val="引用 字符"/>
    <w:basedOn w:val="a0"/>
    <w:link w:val="a7"/>
    <w:uiPriority w:val="29"/>
    <w:rsid w:val="008B4709"/>
    <w:rPr>
      <w:i/>
      <w:iCs/>
      <w:color w:val="404040" w:themeColor="text1" w:themeTint="BF"/>
    </w:rPr>
  </w:style>
  <w:style w:type="paragraph" w:styleId="a9">
    <w:name w:val="List Paragraph"/>
    <w:basedOn w:val="a"/>
    <w:uiPriority w:val="34"/>
    <w:qFormat/>
    <w:rsid w:val="008B4709"/>
    <w:pPr>
      <w:ind w:left="720"/>
      <w:contextualSpacing/>
    </w:pPr>
  </w:style>
  <w:style w:type="character" w:styleId="aa">
    <w:name w:val="Intense Emphasis"/>
    <w:basedOn w:val="a0"/>
    <w:uiPriority w:val="21"/>
    <w:qFormat/>
    <w:rsid w:val="008B4709"/>
    <w:rPr>
      <w:i/>
      <w:iCs/>
      <w:color w:val="2F5496" w:themeColor="accent1" w:themeShade="BF"/>
    </w:rPr>
  </w:style>
  <w:style w:type="paragraph" w:styleId="ab">
    <w:name w:val="Intense Quote"/>
    <w:basedOn w:val="a"/>
    <w:next w:val="a"/>
    <w:link w:val="ac"/>
    <w:uiPriority w:val="30"/>
    <w:qFormat/>
    <w:rsid w:val="008B470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8B4709"/>
    <w:rPr>
      <w:i/>
      <w:iCs/>
      <w:color w:val="2F5496" w:themeColor="accent1" w:themeShade="BF"/>
    </w:rPr>
  </w:style>
  <w:style w:type="character" w:styleId="ad">
    <w:name w:val="Intense Reference"/>
    <w:basedOn w:val="a0"/>
    <w:uiPriority w:val="32"/>
    <w:qFormat/>
    <w:rsid w:val="008B4709"/>
    <w:rPr>
      <w:b/>
      <w:bCs/>
      <w:smallCaps/>
      <w:color w:val="2F5496" w:themeColor="accent1" w:themeShade="BF"/>
      <w:spacing w:val="5"/>
    </w:rPr>
  </w:style>
  <w:style w:type="character" w:styleId="ae">
    <w:name w:val="Hyperlink"/>
    <w:basedOn w:val="a0"/>
    <w:uiPriority w:val="99"/>
    <w:unhideWhenUsed/>
    <w:rsid w:val="006B2C65"/>
    <w:rPr>
      <w:color w:val="0563C1" w:themeColor="hyperlink"/>
      <w:u w:val="single"/>
    </w:rPr>
  </w:style>
  <w:style w:type="character" w:styleId="af">
    <w:name w:val="Unresolved Mention"/>
    <w:basedOn w:val="a0"/>
    <w:uiPriority w:val="99"/>
    <w:semiHidden/>
    <w:unhideWhenUsed/>
    <w:rsid w:val="006B2C65"/>
    <w:rPr>
      <w:color w:val="605E5C"/>
      <w:shd w:val="clear" w:color="auto" w:fill="E1DFDD"/>
    </w:rPr>
  </w:style>
  <w:style w:type="character" w:styleId="af0">
    <w:name w:val="annotation reference"/>
    <w:basedOn w:val="a0"/>
    <w:uiPriority w:val="99"/>
    <w:semiHidden/>
    <w:unhideWhenUsed/>
    <w:rsid w:val="00C02C13"/>
    <w:rPr>
      <w:sz w:val="21"/>
      <w:szCs w:val="21"/>
    </w:rPr>
  </w:style>
  <w:style w:type="paragraph" w:styleId="af1">
    <w:name w:val="annotation text"/>
    <w:basedOn w:val="a"/>
    <w:link w:val="af2"/>
    <w:uiPriority w:val="99"/>
    <w:semiHidden/>
    <w:unhideWhenUsed/>
    <w:rsid w:val="00C02C13"/>
  </w:style>
  <w:style w:type="character" w:customStyle="1" w:styleId="af2">
    <w:name w:val="批注文字 字符"/>
    <w:basedOn w:val="a0"/>
    <w:link w:val="af1"/>
    <w:uiPriority w:val="99"/>
    <w:semiHidden/>
    <w:rsid w:val="00C02C13"/>
  </w:style>
  <w:style w:type="character" w:styleId="af3">
    <w:name w:val="Placeholder Text"/>
    <w:basedOn w:val="a0"/>
    <w:uiPriority w:val="99"/>
    <w:semiHidden/>
    <w:rsid w:val="00471500"/>
    <w:rPr>
      <w:color w:val="666666"/>
    </w:rPr>
  </w:style>
  <w:style w:type="paragraph" w:customStyle="1" w:styleId="EndNoteBibliographyTitle">
    <w:name w:val="EndNote Bibliography Title"/>
    <w:basedOn w:val="a"/>
    <w:link w:val="EndNoteBibliographyTitle0"/>
    <w:rsid w:val="00B72A30"/>
    <w:pPr>
      <w:spacing w:after="0"/>
      <w:jc w:val="center"/>
    </w:pPr>
    <w:rPr>
      <w:rFonts w:ascii="等线" w:eastAsia="等线" w:hAnsi="等线"/>
      <w:noProof/>
    </w:rPr>
  </w:style>
  <w:style w:type="character" w:customStyle="1" w:styleId="EndNoteBibliographyTitle0">
    <w:name w:val="EndNote Bibliography Title 字符"/>
    <w:basedOn w:val="a0"/>
    <w:link w:val="EndNoteBibliographyTitle"/>
    <w:rsid w:val="00B72A30"/>
    <w:rPr>
      <w:rFonts w:ascii="等线" w:eastAsia="等线" w:hAnsi="等线"/>
      <w:noProof/>
    </w:rPr>
  </w:style>
  <w:style w:type="paragraph" w:customStyle="1" w:styleId="EndNoteBibliography">
    <w:name w:val="EndNote Bibliography"/>
    <w:basedOn w:val="a"/>
    <w:link w:val="EndNoteBibliography0"/>
    <w:rsid w:val="00B72A30"/>
    <w:pPr>
      <w:spacing w:line="240" w:lineRule="auto"/>
    </w:pPr>
    <w:rPr>
      <w:rFonts w:ascii="等线" w:eastAsia="等线" w:hAnsi="等线"/>
      <w:noProof/>
    </w:rPr>
  </w:style>
  <w:style w:type="character" w:customStyle="1" w:styleId="EndNoteBibliography0">
    <w:name w:val="EndNote Bibliography 字符"/>
    <w:basedOn w:val="a0"/>
    <w:link w:val="EndNoteBibliography"/>
    <w:rsid w:val="00B72A30"/>
    <w:rPr>
      <w:rFonts w:ascii="等线" w:eastAsia="等线" w:hAnsi="等线"/>
      <w:noProof/>
    </w:rPr>
  </w:style>
  <w:style w:type="paragraph" w:styleId="af4">
    <w:name w:val="header"/>
    <w:basedOn w:val="a"/>
    <w:link w:val="af5"/>
    <w:uiPriority w:val="99"/>
    <w:unhideWhenUsed/>
    <w:rsid w:val="00B750FC"/>
    <w:pPr>
      <w:tabs>
        <w:tab w:val="center" w:pos="4153"/>
        <w:tab w:val="right" w:pos="8306"/>
      </w:tabs>
      <w:snapToGrid w:val="0"/>
      <w:spacing w:line="240" w:lineRule="auto"/>
      <w:jc w:val="center"/>
    </w:pPr>
    <w:rPr>
      <w:sz w:val="18"/>
      <w:szCs w:val="18"/>
    </w:rPr>
  </w:style>
  <w:style w:type="character" w:customStyle="1" w:styleId="af5">
    <w:name w:val="页眉 字符"/>
    <w:basedOn w:val="a0"/>
    <w:link w:val="af4"/>
    <w:uiPriority w:val="99"/>
    <w:rsid w:val="00B750FC"/>
    <w:rPr>
      <w:sz w:val="18"/>
      <w:szCs w:val="18"/>
    </w:rPr>
  </w:style>
  <w:style w:type="paragraph" w:styleId="af6">
    <w:name w:val="footer"/>
    <w:basedOn w:val="a"/>
    <w:link w:val="af7"/>
    <w:uiPriority w:val="99"/>
    <w:unhideWhenUsed/>
    <w:rsid w:val="00B750FC"/>
    <w:pPr>
      <w:tabs>
        <w:tab w:val="center" w:pos="4153"/>
        <w:tab w:val="right" w:pos="8306"/>
      </w:tabs>
      <w:snapToGrid w:val="0"/>
      <w:spacing w:line="240" w:lineRule="auto"/>
    </w:pPr>
    <w:rPr>
      <w:sz w:val="18"/>
      <w:szCs w:val="18"/>
    </w:rPr>
  </w:style>
  <w:style w:type="character" w:customStyle="1" w:styleId="af7">
    <w:name w:val="页脚 字符"/>
    <w:basedOn w:val="a0"/>
    <w:link w:val="af6"/>
    <w:uiPriority w:val="99"/>
    <w:rsid w:val="00B750FC"/>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38/nmeth.3317" TargetMode="External"/><Relationship Id="rId13" Type="http://schemas.openxmlformats.org/officeDocument/2006/relationships/hyperlink" Target="https://doi.org/10.1093/nar/gki442" TargetMode="External"/><Relationship Id="rId18" Type="http://schemas.openxmlformats.org/officeDocument/2006/relationships/hyperlink" Target="https://doi.org/10.1002/imt2.12"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doi.org/10.1016/j.xplc.2022.100333" TargetMode="External"/><Relationship Id="rId12" Type="http://schemas.openxmlformats.org/officeDocument/2006/relationships/hyperlink" Target="https://doi.org/10.1093/nar/gkr483" TargetMode="External"/><Relationship Id="rId17" Type="http://schemas.openxmlformats.org/officeDocument/2006/relationships/hyperlink" Target="https://doi.org/10.1093/bioinformatics/btp616" TargetMode="External"/><Relationship Id="rId2" Type="http://schemas.openxmlformats.org/officeDocument/2006/relationships/styles" Target="styles.xml"/><Relationship Id="rId16" Type="http://schemas.openxmlformats.org/officeDocument/2006/relationships/hyperlink" Target="https://doi.org/10.1016/j.jhazmat.2023.131226"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38/s41598-018-28948-z" TargetMode="External"/><Relationship Id="rId5" Type="http://schemas.openxmlformats.org/officeDocument/2006/relationships/footnotes" Target="footnotes.xml"/><Relationship Id="rId15" Type="http://schemas.openxmlformats.org/officeDocument/2006/relationships/hyperlink" Target="https://doi.org/10.1016/j.ecoenv.2023.115128" TargetMode="External"/><Relationship Id="rId10" Type="http://schemas.openxmlformats.org/officeDocument/2006/relationships/hyperlink" Target="https://doi.org/10.1186/s13059-014-0550-8"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doi.org/10.1186/1471-2105-12-323" TargetMode="External"/><Relationship Id="rId14" Type="http://schemas.openxmlformats.org/officeDocument/2006/relationships/hyperlink" Target="https://doi.org/10.1021/pr300330z"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2385</Words>
  <Characters>13595</Characters>
  <Application>Microsoft Office Word</Application>
  <DocSecurity>0</DocSecurity>
  <Lines>113</Lines>
  <Paragraphs>31</Paragraphs>
  <ScaleCrop>false</ScaleCrop>
  <Company/>
  <LinksUpToDate>false</LinksUpToDate>
  <CharactersWithSpaces>15949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楠 柯</dc:creator>
  <cp:keywords/>
  <dc:description/>
  <cp:lastModifiedBy>楠 柯</cp:lastModifiedBy>
  <cp:revision>3</cp:revision>
  <dcterms:created xsi:type="dcterms:W3CDTF">2026-09-30T12:44:00Z</dcterms:created>
  <dcterms:modified xsi:type="dcterms:W3CDTF">2026-09-30T12:52:00Z</dcterms:modified>
</cp:coreProperties>
</file>