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EA0C5" w14:textId="77777777" w:rsidR="004F427F" w:rsidRDefault="004F427F" w:rsidP="004F427F">
      <w:pPr>
        <w:spacing w:before="100" w:beforeAutospacing="1" w:after="100" w:afterAutospacing="1"/>
        <w:rPr>
          <w:b/>
          <w:bCs/>
          <w:sz w:val="20"/>
          <w:szCs w:val="20"/>
        </w:rPr>
      </w:pPr>
      <w:r w:rsidRPr="002167CE">
        <w:rPr>
          <w:b/>
          <w:bCs/>
          <w:sz w:val="20"/>
          <w:szCs w:val="20"/>
        </w:rPr>
        <w:t xml:space="preserve">Supplementary </w:t>
      </w:r>
    </w:p>
    <w:p w14:paraId="4ABA5D2A" w14:textId="77777777" w:rsidR="004F427F" w:rsidRDefault="004F427F" w:rsidP="004F427F">
      <w:pPr>
        <w:rPr>
          <w:sz w:val="20"/>
          <w:szCs w:val="20"/>
        </w:rPr>
      </w:pPr>
      <w:r w:rsidRPr="00110FC4">
        <w:rPr>
          <w:rStyle w:val="Strong"/>
          <w:rFonts w:eastAsiaTheme="majorEastAsia"/>
          <w:b w:val="0"/>
          <w:bCs w:val="0"/>
          <w:sz w:val="21"/>
          <w:szCs w:val="21"/>
        </w:rPr>
        <w:t>Fig. S1</w:t>
      </w:r>
      <w:r>
        <w:rPr>
          <w:b/>
          <w:bCs/>
          <w:sz w:val="21"/>
          <w:szCs w:val="21"/>
        </w:rPr>
        <w:t xml:space="preserve"> </w:t>
      </w:r>
      <w:r w:rsidRPr="00924FB5">
        <w:rPr>
          <w:sz w:val="21"/>
          <w:szCs w:val="21"/>
        </w:rPr>
        <w:t>Spatial patterns of key climatic variables across cassava experimental environments in Thailand, averaged over the period 2010–2024. Panels show (a) daily dew point temperature (°C), (b) daily evaporation (mm day⁻¹), (c) mean sea-level pressure (</w:t>
      </w:r>
      <w:proofErr w:type="spellStart"/>
      <w:r w:rsidRPr="00924FB5">
        <w:rPr>
          <w:sz w:val="21"/>
          <w:szCs w:val="21"/>
        </w:rPr>
        <w:t>hPa</w:t>
      </w:r>
      <w:proofErr w:type="spellEnd"/>
      <w:r w:rsidRPr="00924FB5">
        <w:rPr>
          <w:sz w:val="21"/>
          <w:szCs w:val="21"/>
        </w:rPr>
        <w:t>), (d) potential evaporation (mm day⁻¹), (e) daily rainfall (mm day⁻¹), (f) relative humidity (%), (g) surface downwelling shortwave radiation (MJ m⁻² day⁻¹), and (h) surface latent heat flux (W m⁻²). Gridded climate surfaces were derived from reanalysis products and spatially averaged over the study period to illustrate broad-scale environmental gradients across the cassava-growing regions. White circles indicate the locations of cassava multi-environment trial sites used in this study.</w:t>
      </w:r>
    </w:p>
    <w:p w14:paraId="6A94E58E" w14:textId="77777777" w:rsidR="004F427F" w:rsidRDefault="004F427F" w:rsidP="004F427F">
      <w:pPr>
        <w:rPr>
          <w:sz w:val="20"/>
          <w:szCs w:val="20"/>
        </w:rPr>
      </w:pPr>
    </w:p>
    <w:p w14:paraId="6D37557F" w14:textId="77777777" w:rsidR="004F427F" w:rsidRDefault="004F427F" w:rsidP="004F427F">
      <w:pPr>
        <w:rPr>
          <w:sz w:val="20"/>
          <w:szCs w:val="20"/>
        </w:rPr>
      </w:pPr>
      <w:r w:rsidRPr="00924FB5">
        <w:rPr>
          <w:sz w:val="20"/>
          <w:szCs w:val="20"/>
        </w:rPr>
        <w:t>Fig. S2</w:t>
      </w:r>
      <w:r>
        <w:rPr>
          <w:sz w:val="20"/>
          <w:szCs w:val="20"/>
        </w:rPr>
        <w:t xml:space="preserve"> </w:t>
      </w:r>
      <w:r w:rsidRPr="00BC64D5">
        <w:rPr>
          <w:sz w:val="20"/>
          <w:szCs w:val="20"/>
        </w:rPr>
        <w:t>Spatial distribution of soil and near-surface climatic variables across cassava experimental environments in Thailand, averaged over the period 2010–2024. Panels show (a) volumetric soil moisture at 7–28 cm depth (m³ m⁻³), (b) maximum soil temperature at 7–28 cm depth (°C), (c) minimum soil temperature at 7–28 cm depth (°C), (d) surface sensible heat flux (W m⁻²), (e) daily mean air temperature at 2 m (°C), (f) daily maximum air temperature at 2 m (°C), (g) daily minimum air temperature at 2 m (°C), and (h) wind speed at 10 m height (m s⁻¹). Gridded climate and soil variables were derived from reanalysis datasets and temporally averaged to illustrate broad-scale environmental gradients across major cassava-growing regions. White circles indicate the locations of cassava multi-environment trial sites included in this study.</w:t>
      </w:r>
    </w:p>
    <w:p w14:paraId="7ED7CBF7" w14:textId="77777777" w:rsidR="004F427F" w:rsidRDefault="004F427F" w:rsidP="004F427F">
      <w:pPr>
        <w:rPr>
          <w:sz w:val="20"/>
          <w:szCs w:val="20"/>
        </w:rPr>
      </w:pPr>
    </w:p>
    <w:p w14:paraId="37B8B30C" w14:textId="77777777" w:rsidR="004F427F" w:rsidRPr="006D0811" w:rsidRDefault="004F427F" w:rsidP="004F427F">
      <w:pPr>
        <w:rPr>
          <w:b/>
          <w:bCs/>
          <w:color w:val="000000"/>
          <w:sz w:val="20"/>
          <w:szCs w:val="20"/>
        </w:rPr>
      </w:pPr>
      <w:r w:rsidRPr="006D0811">
        <w:rPr>
          <w:color w:val="000000"/>
          <w:sz w:val="20"/>
          <w:szCs w:val="20"/>
        </w:rPr>
        <w:t>Table S1. Decomposition of the G×E by interaction principal component axes (IPCAs) from the additive main effects and multiplicative interaction (AMMI) analysis for eight cassava traits evaluated across 66 environments. Environments were defined as unique location × year combinations representing 15 locations evaluated over 10 years. For each trait, the table presents the interaction principal component axis (IPCA), degrees of freedom (</w:t>
      </w:r>
      <w:proofErr w:type="spellStart"/>
      <w:r w:rsidRPr="006D0811">
        <w:rPr>
          <w:color w:val="000000"/>
          <w:sz w:val="20"/>
          <w:szCs w:val="20"/>
        </w:rPr>
        <w:t>df</w:t>
      </w:r>
      <w:proofErr w:type="spellEnd"/>
      <w:r w:rsidRPr="006D0811">
        <w:rPr>
          <w:color w:val="000000"/>
          <w:sz w:val="20"/>
          <w:szCs w:val="20"/>
        </w:rPr>
        <w:t xml:space="preserve">), sum of squares (SS), mean square (MS), F value, </w:t>
      </w:r>
      <w:r w:rsidRPr="006D0811">
        <w:rPr>
          <w:i/>
          <w:iCs/>
          <w:color w:val="000000"/>
          <w:sz w:val="20"/>
          <w:szCs w:val="20"/>
        </w:rPr>
        <w:t>P</w:t>
      </w:r>
      <w:r w:rsidRPr="006D0811">
        <w:rPr>
          <w:color w:val="000000"/>
          <w:sz w:val="20"/>
          <w:szCs w:val="20"/>
        </w:rPr>
        <w:t xml:space="preserve"> value, significance level, percentage of G×E interaction explained by each IPCA (Explained %), and cumulative percentage of G×E explained (Cumulative %). The explained percentage for each IPCA was calculated relative to the total sum of squares of all retained IPCAs within each trait. The explained percentage reported for each IPCA represents the proportion of the total G×E captured by that individual axis, whereas the cumulative percentage represents the sequential accumulation across retained IPCAs and reaches 100% for each trait. Significance levels are indicated as </w:t>
      </w:r>
      <w:r w:rsidRPr="006D0811">
        <w:rPr>
          <w:i/>
          <w:iCs/>
          <w:color w:val="000000"/>
          <w:sz w:val="20"/>
          <w:szCs w:val="20"/>
        </w:rPr>
        <w:t>P</w:t>
      </w:r>
      <w:r w:rsidRPr="006D0811">
        <w:rPr>
          <w:color w:val="000000"/>
          <w:sz w:val="20"/>
          <w:szCs w:val="20"/>
        </w:rPr>
        <w:t xml:space="preserve"> &lt; 0.05 (</w:t>
      </w:r>
      <w:r w:rsidRPr="006D0811">
        <w:rPr>
          <w:color w:val="000000"/>
          <w:sz w:val="16"/>
          <w:szCs w:val="16"/>
        </w:rPr>
        <w:t>*</w:t>
      </w:r>
      <w:r w:rsidRPr="006D0811">
        <w:rPr>
          <w:i/>
          <w:iCs/>
          <w:color w:val="000000"/>
          <w:sz w:val="20"/>
          <w:szCs w:val="20"/>
        </w:rPr>
        <w:t>), P &lt; 0.01 (</w:t>
      </w:r>
      <w:r w:rsidRPr="006D0811">
        <w:rPr>
          <w:color w:val="000000"/>
          <w:sz w:val="16"/>
          <w:szCs w:val="16"/>
        </w:rPr>
        <w:t>**</w:t>
      </w:r>
      <w:r w:rsidRPr="006D0811">
        <w:rPr>
          <w:i/>
          <w:iCs/>
          <w:color w:val="000000"/>
          <w:sz w:val="20"/>
          <w:szCs w:val="20"/>
        </w:rPr>
        <w:t>), and P &lt; 0.001 (</w:t>
      </w:r>
      <w:r w:rsidRPr="006D0811">
        <w:rPr>
          <w:color w:val="000000"/>
          <w:sz w:val="16"/>
          <w:szCs w:val="16"/>
        </w:rPr>
        <w:t>***</w:t>
      </w:r>
      <w:r w:rsidRPr="006D0811">
        <w:rPr>
          <w:color w:val="000000"/>
          <w:sz w:val="20"/>
          <w:szCs w:val="20"/>
        </w:rPr>
        <w:t>). Trait abbreviations: fresh root yield (</w:t>
      </w:r>
      <w:proofErr w:type="spellStart"/>
      <w:r w:rsidRPr="006D0811">
        <w:rPr>
          <w:color w:val="000000"/>
          <w:sz w:val="20"/>
          <w:szCs w:val="20"/>
        </w:rPr>
        <w:t>fy</w:t>
      </w:r>
      <w:proofErr w:type="spellEnd"/>
      <w:r w:rsidRPr="006D0811">
        <w:rPr>
          <w:color w:val="000000"/>
          <w:sz w:val="20"/>
          <w:szCs w:val="20"/>
        </w:rPr>
        <w:t>), dry root yield (</w:t>
      </w:r>
      <w:proofErr w:type="spellStart"/>
      <w:r w:rsidRPr="006D0811">
        <w:rPr>
          <w:color w:val="000000"/>
          <w:sz w:val="20"/>
          <w:szCs w:val="20"/>
        </w:rPr>
        <w:t>dy</w:t>
      </w:r>
      <w:proofErr w:type="spellEnd"/>
      <w:r w:rsidRPr="006D0811">
        <w:rPr>
          <w:color w:val="000000"/>
          <w:sz w:val="20"/>
          <w:szCs w:val="20"/>
        </w:rPr>
        <w:t>), starch content (</w:t>
      </w:r>
      <w:proofErr w:type="spellStart"/>
      <w:r w:rsidRPr="006D0811">
        <w:rPr>
          <w:color w:val="000000"/>
          <w:sz w:val="20"/>
          <w:szCs w:val="20"/>
        </w:rPr>
        <w:t>sc</w:t>
      </w:r>
      <w:proofErr w:type="spellEnd"/>
      <w:r w:rsidRPr="006D0811">
        <w:rPr>
          <w:color w:val="000000"/>
          <w:sz w:val="20"/>
          <w:szCs w:val="20"/>
        </w:rPr>
        <w:t>), above-ground biomass (</w:t>
      </w:r>
      <w:proofErr w:type="spellStart"/>
      <w:r w:rsidRPr="006D0811">
        <w:rPr>
          <w:color w:val="000000"/>
          <w:sz w:val="20"/>
          <w:szCs w:val="20"/>
        </w:rPr>
        <w:t>agb</w:t>
      </w:r>
      <w:proofErr w:type="spellEnd"/>
      <w:r w:rsidRPr="006D0811">
        <w:rPr>
          <w:color w:val="000000"/>
          <w:sz w:val="20"/>
          <w:szCs w:val="20"/>
        </w:rPr>
        <w:t>), number of storage roots per plant (nr), harvest index (hi), germination percentage (germ), and plant height (</w:t>
      </w:r>
      <w:proofErr w:type="spellStart"/>
      <w:r w:rsidRPr="006D0811">
        <w:rPr>
          <w:color w:val="000000"/>
          <w:sz w:val="20"/>
          <w:szCs w:val="20"/>
        </w:rPr>
        <w:t>plant_h</w:t>
      </w:r>
      <w:proofErr w:type="spellEnd"/>
      <w:r w:rsidRPr="006D0811">
        <w:rPr>
          <w:color w:val="000000"/>
          <w:sz w:val="20"/>
          <w:szCs w:val="20"/>
        </w:rPr>
        <w:t>).</w:t>
      </w:r>
    </w:p>
    <w:p w14:paraId="43B9B7FD" w14:textId="77777777" w:rsidR="004F427F" w:rsidRDefault="004F427F" w:rsidP="004F427F">
      <w:pPr>
        <w:rPr>
          <w:sz w:val="20"/>
          <w:szCs w:val="20"/>
        </w:rPr>
      </w:pPr>
    </w:p>
    <w:p w14:paraId="46D43C93" w14:textId="77777777" w:rsidR="004F427F" w:rsidRDefault="004F427F" w:rsidP="004F427F">
      <w:pPr>
        <w:rPr>
          <w:sz w:val="20"/>
          <w:szCs w:val="22"/>
        </w:rPr>
      </w:pPr>
      <w:r w:rsidRPr="00C60628">
        <w:rPr>
          <w:sz w:val="20"/>
          <w:szCs w:val="22"/>
        </w:rPr>
        <w:t>Table S2. Predictive performance of the baseline linear regression model and six machine-learning regression algorithms for eight cassava traits evaluated using an independent test dataset. Performance is reported as the coefficient of determination (R²), root mean square error (RMSE</w:t>
      </w:r>
      <w:proofErr w:type="gramStart"/>
      <w:r w:rsidRPr="00C60628">
        <w:rPr>
          <w:sz w:val="20"/>
          <w:szCs w:val="22"/>
        </w:rPr>
        <w:t>), and</w:t>
      </w:r>
      <w:proofErr w:type="gramEnd"/>
      <w:r w:rsidRPr="00C60628">
        <w:rPr>
          <w:sz w:val="20"/>
          <w:szCs w:val="22"/>
        </w:rPr>
        <w:t xml:space="preserve"> mean absolute error (MAE). The evaluated models comprised linear regression (baseline), Elastic Net, decision tree, Random Forest, gradient boosting, support vector machine with a radial basis function kernel </w:t>
      </w:r>
      <w:r>
        <w:rPr>
          <w:sz w:val="20"/>
          <w:szCs w:val="22"/>
        </w:rPr>
        <w:t>(</w:t>
      </w:r>
      <w:r w:rsidRPr="00C60628">
        <w:rPr>
          <w:sz w:val="20"/>
          <w:szCs w:val="22"/>
        </w:rPr>
        <w:t>SVM</w:t>
      </w:r>
      <w:r>
        <w:rPr>
          <w:sz w:val="20"/>
          <w:szCs w:val="22"/>
        </w:rPr>
        <w:t>-</w:t>
      </w:r>
      <w:r w:rsidRPr="00C60628">
        <w:rPr>
          <w:sz w:val="20"/>
          <w:szCs w:val="22"/>
        </w:rPr>
        <w:t>RBF</w:t>
      </w:r>
      <w:r>
        <w:rPr>
          <w:sz w:val="20"/>
          <w:szCs w:val="22"/>
        </w:rPr>
        <w:t>)</w:t>
      </w:r>
      <w:r w:rsidRPr="00C60628">
        <w:rPr>
          <w:sz w:val="20"/>
          <w:szCs w:val="22"/>
        </w:rPr>
        <w:t xml:space="preserve">, and k-nearest </w:t>
      </w:r>
      <w:proofErr w:type="spellStart"/>
      <w:r w:rsidRPr="00C60628">
        <w:rPr>
          <w:sz w:val="20"/>
          <w:szCs w:val="22"/>
        </w:rPr>
        <w:t>neighbours</w:t>
      </w:r>
      <w:proofErr w:type="spellEnd"/>
      <w:r w:rsidRPr="00C60628">
        <w:rPr>
          <w:sz w:val="20"/>
          <w:szCs w:val="22"/>
        </w:rPr>
        <w:t xml:space="preserve"> (k-NN). The best-performing models presented in Table 6 were selected from these results.</w:t>
      </w:r>
      <w:r>
        <w:rPr>
          <w:sz w:val="20"/>
          <w:szCs w:val="22"/>
        </w:rPr>
        <w:t xml:space="preserve"> </w:t>
      </w:r>
    </w:p>
    <w:p w14:paraId="5724C12C" w14:textId="77777777" w:rsidR="004F427F" w:rsidRDefault="004F427F" w:rsidP="004F427F">
      <w:pPr>
        <w:rPr>
          <w:sz w:val="20"/>
          <w:szCs w:val="20"/>
        </w:rPr>
      </w:pPr>
    </w:p>
    <w:p w14:paraId="381392CC" w14:textId="77777777" w:rsidR="004F427F" w:rsidRDefault="004F427F" w:rsidP="004F427F">
      <w:pPr>
        <w:rPr>
          <w:sz w:val="20"/>
          <w:szCs w:val="20"/>
        </w:rPr>
      </w:pPr>
      <w:r w:rsidRPr="00621AF3">
        <w:rPr>
          <w:rStyle w:val="Strong"/>
          <w:b w:val="0"/>
          <w:bCs w:val="0"/>
          <w:sz w:val="20"/>
          <w:szCs w:val="20"/>
        </w:rPr>
        <w:lastRenderedPageBreak/>
        <w:t>Table S3. Selected hyperparameters and cross-validation performance of the seven regression models used for cassava trait prediction.</w:t>
      </w:r>
      <w:r w:rsidRPr="00621AF3">
        <w:rPr>
          <w:b/>
          <w:bCs/>
          <w:sz w:val="20"/>
          <w:szCs w:val="20"/>
        </w:rPr>
        <w:t xml:space="preserve"> </w:t>
      </w:r>
      <w:r w:rsidRPr="00621AF3">
        <w:rPr>
          <w:sz w:val="20"/>
          <w:szCs w:val="20"/>
        </w:rPr>
        <w:t xml:space="preserve">Hyperparameters were optimized using grid search with five-fold cross-validation on the training dataset. The combination with the lowest </w:t>
      </w:r>
      <w:proofErr w:type="gramStart"/>
      <w:r w:rsidRPr="00621AF3">
        <w:rPr>
          <w:sz w:val="20"/>
          <w:szCs w:val="20"/>
        </w:rPr>
        <w:t>mean</w:t>
      </w:r>
      <w:proofErr w:type="gramEnd"/>
      <w:r w:rsidRPr="00621AF3">
        <w:rPr>
          <w:sz w:val="20"/>
          <w:szCs w:val="20"/>
        </w:rPr>
        <w:t xml:space="preserve"> cross-validated root </w:t>
      </w:r>
      <w:proofErr w:type="gramStart"/>
      <w:r w:rsidRPr="00621AF3">
        <w:rPr>
          <w:sz w:val="20"/>
          <w:szCs w:val="20"/>
        </w:rPr>
        <w:t>mean</w:t>
      </w:r>
      <w:proofErr w:type="gramEnd"/>
      <w:r w:rsidRPr="00621AF3">
        <w:rPr>
          <w:sz w:val="20"/>
          <w:szCs w:val="20"/>
        </w:rPr>
        <w:t xml:space="preserve"> square error (CV-RMSE) was selected for each trait and model.</w:t>
      </w:r>
    </w:p>
    <w:p w14:paraId="61F35F78" w14:textId="77777777" w:rsidR="004F427F" w:rsidRPr="005A5664" w:rsidRDefault="004F427F" w:rsidP="004F427F">
      <w:pPr>
        <w:rPr>
          <w:sz w:val="20"/>
          <w:szCs w:val="20"/>
        </w:rPr>
      </w:pPr>
    </w:p>
    <w:p w14:paraId="5F4152EE" w14:textId="77777777" w:rsidR="00846701" w:rsidRDefault="00846701"/>
    <w:sectPr w:rsidR="00846701" w:rsidSect="004F427F">
      <w:headerReference w:type="even" r:id="rId4"/>
      <w:headerReference w:type="default" r:id="rId5"/>
      <w:pgSz w:w="12240" w:h="15840"/>
      <w:pgMar w:top="1440" w:right="1440" w:bottom="1440" w:left="1440" w:header="709" w:footer="709"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02654968"/>
      <w:docPartObj>
        <w:docPartGallery w:val="Page Numbers (Top of Page)"/>
        <w:docPartUnique/>
      </w:docPartObj>
    </w:sdtPr>
    <w:sdtContent>
      <w:p w14:paraId="50A263BF" w14:textId="77777777" w:rsidR="004F427F" w:rsidRDefault="004F427F" w:rsidP="00B2403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0D97879" w14:textId="77777777" w:rsidR="004F427F" w:rsidRDefault="004F427F" w:rsidP="00D87F1D">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21789274"/>
      <w:docPartObj>
        <w:docPartGallery w:val="Page Numbers (Top of Page)"/>
        <w:docPartUnique/>
      </w:docPartObj>
    </w:sdtPr>
    <w:sdtContent>
      <w:p w14:paraId="47EFFC63" w14:textId="77777777" w:rsidR="004F427F" w:rsidRDefault="004F427F" w:rsidP="00B2403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noProof/>
          </w:rPr>
          <w:t>1</w:t>
        </w:r>
        <w:r>
          <w:rPr>
            <w:rStyle w:val="PageNumber"/>
          </w:rPr>
          <w:fldChar w:fldCharType="end"/>
        </w:r>
      </w:p>
    </w:sdtContent>
  </w:sdt>
  <w:p w14:paraId="5CB23E8A" w14:textId="77777777" w:rsidR="004F427F" w:rsidRDefault="004F427F" w:rsidP="00D87F1D">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27F"/>
    <w:rsid w:val="003E53FF"/>
    <w:rsid w:val="00417B90"/>
    <w:rsid w:val="004F427F"/>
    <w:rsid w:val="005B0F01"/>
    <w:rsid w:val="00770E21"/>
    <w:rsid w:val="008467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64EC4"/>
  <w15:chartTrackingRefBased/>
  <w15:docId w15:val="{658E7980-7589-4C12-BA1E-AD16308F1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42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F42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42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42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42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42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42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42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42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42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42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42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42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42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42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42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42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427F"/>
    <w:rPr>
      <w:rFonts w:eastAsiaTheme="majorEastAsia" w:cstheme="majorBidi"/>
      <w:color w:val="272727" w:themeColor="text1" w:themeTint="D8"/>
    </w:rPr>
  </w:style>
  <w:style w:type="paragraph" w:styleId="Title">
    <w:name w:val="Title"/>
    <w:basedOn w:val="Normal"/>
    <w:next w:val="Normal"/>
    <w:link w:val="TitleChar"/>
    <w:uiPriority w:val="10"/>
    <w:qFormat/>
    <w:rsid w:val="004F42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42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42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42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427F"/>
    <w:pPr>
      <w:spacing w:before="160"/>
      <w:jc w:val="center"/>
    </w:pPr>
    <w:rPr>
      <w:i/>
      <w:iCs/>
      <w:color w:val="404040" w:themeColor="text1" w:themeTint="BF"/>
    </w:rPr>
  </w:style>
  <w:style w:type="character" w:customStyle="1" w:styleId="QuoteChar">
    <w:name w:val="Quote Char"/>
    <w:basedOn w:val="DefaultParagraphFont"/>
    <w:link w:val="Quote"/>
    <w:uiPriority w:val="29"/>
    <w:rsid w:val="004F427F"/>
    <w:rPr>
      <w:i/>
      <w:iCs/>
      <w:color w:val="404040" w:themeColor="text1" w:themeTint="BF"/>
    </w:rPr>
  </w:style>
  <w:style w:type="paragraph" w:styleId="ListParagraph">
    <w:name w:val="List Paragraph"/>
    <w:basedOn w:val="Normal"/>
    <w:uiPriority w:val="34"/>
    <w:qFormat/>
    <w:rsid w:val="004F427F"/>
    <w:pPr>
      <w:ind w:left="720"/>
      <w:contextualSpacing/>
    </w:pPr>
  </w:style>
  <w:style w:type="character" w:styleId="IntenseEmphasis">
    <w:name w:val="Intense Emphasis"/>
    <w:basedOn w:val="DefaultParagraphFont"/>
    <w:uiPriority w:val="21"/>
    <w:qFormat/>
    <w:rsid w:val="004F427F"/>
    <w:rPr>
      <w:i/>
      <w:iCs/>
      <w:color w:val="0F4761" w:themeColor="accent1" w:themeShade="BF"/>
    </w:rPr>
  </w:style>
  <w:style w:type="paragraph" w:styleId="IntenseQuote">
    <w:name w:val="Intense Quote"/>
    <w:basedOn w:val="Normal"/>
    <w:next w:val="Normal"/>
    <w:link w:val="IntenseQuoteChar"/>
    <w:uiPriority w:val="30"/>
    <w:qFormat/>
    <w:rsid w:val="004F42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427F"/>
    <w:rPr>
      <w:i/>
      <w:iCs/>
      <w:color w:val="0F4761" w:themeColor="accent1" w:themeShade="BF"/>
    </w:rPr>
  </w:style>
  <w:style w:type="character" w:styleId="IntenseReference">
    <w:name w:val="Intense Reference"/>
    <w:basedOn w:val="DefaultParagraphFont"/>
    <w:uiPriority w:val="32"/>
    <w:qFormat/>
    <w:rsid w:val="004F427F"/>
    <w:rPr>
      <w:b/>
      <w:bCs/>
      <w:smallCaps/>
      <w:color w:val="0F4761" w:themeColor="accent1" w:themeShade="BF"/>
      <w:spacing w:val="5"/>
    </w:rPr>
  </w:style>
  <w:style w:type="character" w:styleId="Strong">
    <w:name w:val="Strong"/>
    <w:basedOn w:val="DefaultParagraphFont"/>
    <w:uiPriority w:val="22"/>
    <w:qFormat/>
    <w:rsid w:val="004F427F"/>
    <w:rPr>
      <w:b/>
      <w:bCs/>
    </w:rPr>
  </w:style>
  <w:style w:type="paragraph" w:styleId="Header">
    <w:name w:val="header"/>
    <w:basedOn w:val="Normal"/>
    <w:link w:val="HeaderChar"/>
    <w:uiPriority w:val="99"/>
    <w:unhideWhenUsed/>
    <w:rsid w:val="004F427F"/>
    <w:pPr>
      <w:tabs>
        <w:tab w:val="center" w:pos="4680"/>
        <w:tab w:val="right" w:pos="9360"/>
      </w:tabs>
      <w:spacing w:after="0" w:line="240" w:lineRule="auto"/>
    </w:pPr>
    <w:rPr>
      <w:rFonts w:ascii="Times New Roman" w:eastAsia="Times New Roman" w:hAnsi="Times New Roman" w:cs="Times New Roman"/>
      <w:kern w:val="0"/>
      <w:lang w:bidi="th-TH"/>
      <w14:ligatures w14:val="none"/>
    </w:rPr>
  </w:style>
  <w:style w:type="character" w:customStyle="1" w:styleId="HeaderChar">
    <w:name w:val="Header Char"/>
    <w:basedOn w:val="DefaultParagraphFont"/>
    <w:link w:val="Header"/>
    <w:uiPriority w:val="99"/>
    <w:rsid w:val="004F427F"/>
    <w:rPr>
      <w:rFonts w:ascii="Times New Roman" w:eastAsia="Times New Roman" w:hAnsi="Times New Roman" w:cs="Times New Roman"/>
      <w:kern w:val="0"/>
      <w:lang w:bidi="th-TH"/>
      <w14:ligatures w14:val="none"/>
    </w:rPr>
  </w:style>
  <w:style w:type="character" w:styleId="PageNumber">
    <w:name w:val="page number"/>
    <w:basedOn w:val="DefaultParagraphFont"/>
    <w:uiPriority w:val="99"/>
    <w:semiHidden/>
    <w:unhideWhenUsed/>
    <w:rsid w:val="004F427F"/>
  </w:style>
  <w:style w:type="character" w:styleId="LineNumber">
    <w:name w:val="line number"/>
    <w:basedOn w:val="DefaultParagraphFont"/>
    <w:uiPriority w:val="99"/>
    <w:semiHidden/>
    <w:unhideWhenUsed/>
    <w:rsid w:val="004F42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2.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591</Words>
  <Characters>3369</Characters>
  <Application>Microsoft Office Word</Application>
  <DocSecurity>0</DocSecurity>
  <Lines>28</Lines>
  <Paragraphs>7</Paragraphs>
  <ScaleCrop>false</ScaleCrop>
  <Company/>
  <LinksUpToDate>false</LinksUpToDate>
  <CharactersWithSpaces>3953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Tushar Sood</dc:creator>
  <cp:keywords/>
  <dc:description/>
  <cp:lastModifiedBy>Tushar Sood</cp:lastModifiedBy>
  <cp:revision>1</cp:revision>
  <dcterms:created xsi:type="dcterms:W3CDTF">2026-10-19T02:44:00Z</dcterms:created>
  <dcterms:modified xsi:type="dcterms:W3CDTF">2026-10-19T02:45:00Z</dcterms:modified>
</cp:coreProperties>
</file>