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0D0A" w:rsidRDefault="00707704" w:rsidP="00707704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This study is a retrospective case-control study. The </w:t>
      </w:r>
      <w:r>
        <w:rPr>
          <w:rFonts w:hint="eastAsia"/>
          <w:sz w:val="22"/>
          <w:szCs w:val="22"/>
        </w:rPr>
        <w:t>case</w:t>
      </w:r>
      <w:r>
        <w:rPr>
          <w:sz w:val="22"/>
          <w:szCs w:val="22"/>
        </w:rPr>
        <w:t xml:space="preserve"> group is “prolonged ICU stay” and control group is “non-prolonged ICU stay”. The main indicator </w:t>
      </w:r>
      <w:r>
        <w:rPr>
          <w:rFonts w:hint="eastAsia"/>
          <w:sz w:val="22"/>
          <w:szCs w:val="22"/>
        </w:rPr>
        <w:t>of</w:t>
      </w:r>
      <w:r>
        <w:rPr>
          <w:sz w:val="22"/>
          <w:szCs w:val="22"/>
        </w:rPr>
        <w:t xml:space="preserve"> interest is peripheral perfusion index. With reference to a previous research on PPI</w:t>
      </w:r>
      <w:r>
        <w:rPr>
          <w:sz w:val="22"/>
          <w:szCs w:val="22"/>
        </w:rPr>
        <w:t xml:space="preserve"> [1]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we set the value of PPI </w:t>
      </w:r>
      <w:r>
        <w:rPr>
          <w:rFonts w:hint="eastAsia"/>
          <w:sz w:val="22"/>
          <w:szCs w:val="22"/>
        </w:rPr>
        <w:t>in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case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group</w:t>
      </w:r>
      <w:r>
        <w:rPr>
          <w:sz w:val="22"/>
          <w:szCs w:val="22"/>
        </w:rPr>
        <w:t xml:space="preserve"> as </w:t>
      </w: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>.7</w:t>
      </w:r>
      <w:r w:rsidRPr="00707704">
        <w:rPr>
          <w:sz w:val="22"/>
          <w:szCs w:val="22"/>
        </w:rPr>
        <w:t>±</w:t>
      </w:r>
      <w:r w:rsidRPr="00707704">
        <w:rPr>
          <w:sz w:val="22"/>
          <w:szCs w:val="22"/>
        </w:rPr>
        <w:t xml:space="preserve">0.8(D0, </w:t>
      </w:r>
      <w:r w:rsidRPr="00707704">
        <w:rPr>
          <w:sz w:val="22"/>
          <w:szCs w:val="22"/>
        </w:rPr>
        <w:t>grou</w:t>
      </w:r>
      <w:r w:rsidRPr="00707704">
        <w:rPr>
          <w:sz w:val="22"/>
          <w:szCs w:val="22"/>
        </w:rPr>
        <w:t xml:space="preserve">p </w:t>
      </w:r>
      <w:r>
        <w:rPr>
          <w:rFonts w:hint="eastAsia"/>
          <w:sz w:val="22"/>
          <w:szCs w:val="22"/>
        </w:rPr>
        <w:t>“</w:t>
      </w:r>
      <w:r>
        <w:rPr>
          <w:sz w:val="22"/>
          <w:szCs w:val="22"/>
        </w:rPr>
        <w:t>s</w:t>
      </w:r>
      <w:r w:rsidRPr="00707704">
        <w:rPr>
          <w:sz w:val="22"/>
          <w:szCs w:val="22"/>
        </w:rPr>
        <w:t>evere complications</w:t>
      </w:r>
      <w:r w:rsidRPr="00707704">
        <w:rPr>
          <w:sz w:val="22"/>
          <w:szCs w:val="22"/>
        </w:rPr>
        <w:t>”)</w:t>
      </w:r>
      <w:r>
        <w:rPr>
          <w:sz w:val="22"/>
          <w:szCs w:val="22"/>
        </w:rPr>
        <w:t>, in control group as 3.5</w:t>
      </w:r>
      <w:r w:rsidRPr="00707704">
        <w:rPr>
          <w:sz w:val="22"/>
          <w:szCs w:val="22"/>
        </w:rPr>
        <w:t>±0.</w:t>
      </w:r>
      <w:r>
        <w:rPr>
          <w:sz w:val="22"/>
          <w:szCs w:val="22"/>
        </w:rPr>
        <w:t>4(</w:t>
      </w:r>
      <w:r w:rsidRPr="00707704">
        <w:rPr>
          <w:sz w:val="22"/>
          <w:szCs w:val="22"/>
        </w:rPr>
        <w:t xml:space="preserve">D0, group </w:t>
      </w:r>
      <w:r>
        <w:rPr>
          <w:rFonts w:hint="eastAsia"/>
          <w:sz w:val="22"/>
          <w:szCs w:val="22"/>
        </w:rPr>
        <w:t>“</w:t>
      </w:r>
      <w:r>
        <w:rPr>
          <w:sz w:val="22"/>
          <w:szCs w:val="22"/>
        </w:rPr>
        <w:t>non-s</w:t>
      </w:r>
      <w:r w:rsidRPr="00707704">
        <w:rPr>
          <w:sz w:val="22"/>
          <w:szCs w:val="22"/>
        </w:rPr>
        <w:t>evere complications”</w:t>
      </w:r>
      <w:r>
        <w:rPr>
          <w:sz w:val="22"/>
          <w:szCs w:val="22"/>
        </w:rPr>
        <w:t xml:space="preserve">). </w:t>
      </w:r>
    </w:p>
    <w:p w:rsidR="00707704" w:rsidRDefault="00707704" w:rsidP="00707704">
      <w:pPr>
        <w:rPr>
          <w:sz w:val="22"/>
          <w:szCs w:val="22"/>
        </w:rPr>
      </w:pPr>
      <w:r>
        <w:rPr>
          <w:sz w:val="22"/>
          <w:szCs w:val="22"/>
        </w:rPr>
        <w:t xml:space="preserve">Other </w:t>
      </w:r>
      <w:r>
        <w:rPr>
          <w:rFonts w:hint="eastAsia"/>
          <w:sz w:val="22"/>
          <w:szCs w:val="22"/>
        </w:rPr>
        <w:t>parameters</w:t>
      </w:r>
      <w:r>
        <w:rPr>
          <w:sz w:val="22"/>
          <w:szCs w:val="22"/>
        </w:rPr>
        <w:t xml:space="preserve"> setting:</w:t>
      </w:r>
    </w:p>
    <w:p w:rsidR="00707704" w:rsidRDefault="00707704" w:rsidP="00707704">
      <w:pPr>
        <w:rPr>
          <w:sz w:val="22"/>
          <w:szCs w:val="22"/>
        </w:rPr>
      </w:pPr>
      <w:r>
        <w:rPr>
          <w:sz w:val="22"/>
          <w:szCs w:val="22"/>
        </w:rPr>
        <w:t>a) Sampling ratio is 1:1;</w:t>
      </w:r>
    </w:p>
    <w:p w:rsidR="00707704" w:rsidRDefault="00707704" w:rsidP="00707704">
      <w:pPr>
        <w:rPr>
          <w:sz w:val="22"/>
          <w:szCs w:val="22"/>
        </w:rPr>
      </w:pPr>
      <w:r>
        <w:rPr>
          <w:sz w:val="22"/>
          <w:szCs w:val="22"/>
        </w:rPr>
        <w:t>b) The power (1-</w:t>
      </w:r>
      <w:r w:rsidRPr="00707704">
        <w:rPr>
          <w:sz w:val="22"/>
          <w:szCs w:val="22"/>
        </w:rPr>
        <w:t>β</w:t>
      </w:r>
      <w:r>
        <w:rPr>
          <w:rFonts w:hint="eastAsia"/>
          <w:sz w:val="22"/>
          <w:szCs w:val="22"/>
        </w:rPr>
        <w:t>)</w:t>
      </w:r>
      <w:r>
        <w:rPr>
          <w:sz w:val="22"/>
          <w:szCs w:val="22"/>
        </w:rPr>
        <w:t xml:space="preserve"> is 0.9;</w:t>
      </w:r>
    </w:p>
    <w:p w:rsidR="00707704" w:rsidRPr="00707704" w:rsidRDefault="00707704" w:rsidP="00707704">
      <w:pPr>
        <w:rPr>
          <w:sz w:val="22"/>
          <w:szCs w:val="22"/>
        </w:rPr>
      </w:pPr>
      <w:r>
        <w:rPr>
          <w:sz w:val="22"/>
          <w:szCs w:val="22"/>
        </w:rPr>
        <w:t>c)</w:t>
      </w:r>
      <w:r w:rsidRPr="00707704">
        <w:rPr>
          <w:sz w:val="22"/>
          <w:szCs w:val="22"/>
        </w:rPr>
        <w:t xml:space="preserve"> </w:t>
      </w:r>
      <w:r w:rsidRPr="00707704">
        <w:rPr>
          <w:sz w:val="22"/>
          <w:szCs w:val="22"/>
        </w:rPr>
        <w:t>Type I error rate</w:t>
      </w:r>
      <w:r>
        <w:rPr>
          <w:sz w:val="22"/>
          <w:szCs w:val="22"/>
        </w:rPr>
        <w:t>(</w:t>
      </w:r>
      <w:r w:rsidRPr="00707704">
        <w:rPr>
          <w:sz w:val="22"/>
          <w:szCs w:val="22"/>
        </w:rPr>
        <w:t>α</w:t>
      </w:r>
      <w:r>
        <w:rPr>
          <w:sz w:val="22"/>
          <w:szCs w:val="22"/>
        </w:rPr>
        <w:t>) is 0.05.</w:t>
      </w:r>
    </w:p>
    <w:p w:rsidR="00707704" w:rsidRPr="00ED2A72" w:rsidRDefault="00707704" w:rsidP="00707704">
      <w:pPr>
        <w:rPr>
          <w:sz w:val="22"/>
          <w:szCs w:val="22"/>
        </w:rPr>
      </w:pPr>
      <w:r>
        <w:rPr>
          <w:sz w:val="22"/>
          <w:szCs w:val="22"/>
        </w:rPr>
        <w:t>PASS 2020 (</w:t>
      </w:r>
      <w:r w:rsidRPr="00ED2A72">
        <w:rPr>
          <w:sz w:val="22"/>
          <w:szCs w:val="22"/>
        </w:rPr>
        <w:t xml:space="preserve">© 2013-2020 </w:t>
      </w:r>
      <w:proofErr w:type="spellStart"/>
      <w:r w:rsidRPr="00ED2A72">
        <w:rPr>
          <w:sz w:val="22"/>
          <w:szCs w:val="22"/>
        </w:rPr>
        <w:t>HyLown</w:t>
      </w:r>
      <w:proofErr w:type="spellEnd"/>
      <w:r w:rsidRPr="00ED2A72">
        <w:rPr>
          <w:sz w:val="22"/>
          <w:szCs w:val="22"/>
        </w:rPr>
        <w:t xml:space="preserve"> Consulting LLC • Atlanta, GA</w:t>
      </w:r>
      <w:r>
        <w:rPr>
          <w:sz w:val="22"/>
          <w:szCs w:val="22"/>
        </w:rPr>
        <w:t>)</w:t>
      </w:r>
      <w:r w:rsidR="00ED2A72">
        <w:rPr>
          <w:sz w:val="22"/>
          <w:szCs w:val="22"/>
        </w:rPr>
        <w:t xml:space="preserve"> </w:t>
      </w:r>
      <w:r>
        <w:rPr>
          <w:sz w:val="22"/>
          <w:szCs w:val="22"/>
        </w:rPr>
        <w:t>was used to calculate the sample size</w:t>
      </w:r>
      <w:r w:rsidR="00ED2A72" w:rsidRPr="00ED2A72">
        <w:rPr>
          <w:sz w:val="22"/>
          <w:szCs w:val="22"/>
        </w:rPr>
        <w:t>. The result was</w:t>
      </w:r>
      <w:bookmarkStart w:id="0" w:name="_GoBack"/>
      <w:r w:rsidR="00ED2A72" w:rsidRPr="00DF340E">
        <w:rPr>
          <w:b/>
          <w:bCs/>
          <w:i/>
          <w:iCs/>
          <w:sz w:val="22"/>
          <w:szCs w:val="22"/>
        </w:rPr>
        <w:t xml:space="preserve"> fourteen patients</w:t>
      </w:r>
      <w:bookmarkEnd w:id="0"/>
      <w:r w:rsidR="00ED2A72" w:rsidRPr="00ED2A72">
        <w:rPr>
          <w:sz w:val="22"/>
          <w:szCs w:val="22"/>
        </w:rPr>
        <w:t xml:space="preserve"> in each group </w:t>
      </w:r>
      <w:r w:rsidR="00ED2A72" w:rsidRPr="00ED2A72">
        <w:rPr>
          <w:sz w:val="22"/>
          <w:szCs w:val="22"/>
        </w:rPr>
        <w:t>minim</w:t>
      </w:r>
      <w:r w:rsidR="00ED2A72" w:rsidRPr="00ED2A72">
        <w:rPr>
          <w:rFonts w:hint="eastAsia"/>
          <w:sz w:val="22"/>
          <w:szCs w:val="22"/>
        </w:rPr>
        <w:t>al</w:t>
      </w:r>
      <w:r w:rsidR="00ED2A72" w:rsidRPr="00ED2A72">
        <w:rPr>
          <w:sz w:val="22"/>
          <w:szCs w:val="22"/>
        </w:rPr>
        <w:t xml:space="preserve">ly. </w:t>
      </w:r>
    </w:p>
    <w:p w:rsidR="00ED2A72" w:rsidRDefault="00ED2A72">
      <w:pPr>
        <w:rPr>
          <w:sz w:val="22"/>
          <w:szCs w:val="22"/>
        </w:rPr>
      </w:pPr>
    </w:p>
    <w:p w:rsidR="00707704" w:rsidRPr="00ED2A72" w:rsidRDefault="00ED2A72">
      <w:pPr>
        <w:rPr>
          <w:b/>
          <w:bCs/>
        </w:rPr>
      </w:pPr>
      <w:r w:rsidRPr="00ED2A72">
        <w:rPr>
          <w:b/>
          <w:bCs/>
          <w:sz w:val="22"/>
          <w:szCs w:val="22"/>
        </w:rPr>
        <w:t>Reference</w:t>
      </w:r>
    </w:p>
    <w:p w:rsidR="00707704" w:rsidRPr="00707704" w:rsidRDefault="00707704" w:rsidP="00707704">
      <w:pPr>
        <w:pStyle w:val="a3"/>
        <w:numPr>
          <w:ilvl w:val="0"/>
          <w:numId w:val="1"/>
        </w:numPr>
        <w:ind w:firstLineChars="0"/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</w:pPr>
      <w:r w:rsidRPr="00707704"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  <w:t xml:space="preserve">van </w:t>
      </w:r>
      <w:proofErr w:type="spellStart"/>
      <w:r w:rsidRPr="00707704"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  <w:t>Genderen</w:t>
      </w:r>
      <w:proofErr w:type="spellEnd"/>
      <w:r w:rsidRPr="00707704"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  <w:t>, Michel E et al. “Clinical assessment of peripheral perfusion to predict postoperative complications after major abdominal surgery early: a prospective observational study in adults.” Critical care</w:t>
      </w:r>
      <w:r w:rsidRPr="00707704"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  <w:t xml:space="preserve">, </w:t>
      </w:r>
      <w:r w:rsidRPr="00707704">
        <w:rPr>
          <w:rFonts w:ascii="Arial" w:eastAsia="宋体" w:hAnsi="Arial" w:cs="Arial"/>
          <w:color w:val="303030"/>
          <w:sz w:val="20"/>
          <w:szCs w:val="20"/>
          <w:shd w:val="clear" w:color="auto" w:fill="FFFFFF"/>
        </w:rPr>
        <w:t>2014; 18(3): R114</w:t>
      </w:r>
    </w:p>
    <w:p w:rsidR="00707704" w:rsidRPr="00707704" w:rsidRDefault="00707704" w:rsidP="00707704">
      <w:pPr>
        <w:rPr>
          <w:rFonts w:ascii="宋体" w:eastAsia="宋体" w:hAnsi="宋体" w:cs="宋体"/>
        </w:rPr>
      </w:pPr>
    </w:p>
    <w:p w:rsidR="00707704" w:rsidRPr="00707704" w:rsidRDefault="00707704">
      <w:pPr>
        <w:rPr>
          <w:rFonts w:hint="eastAsia"/>
        </w:rPr>
      </w:pPr>
    </w:p>
    <w:sectPr w:rsidR="00707704" w:rsidRPr="00707704" w:rsidSect="0028654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73997"/>
    <w:multiLevelType w:val="hybridMultilevel"/>
    <w:tmpl w:val="EA3A6BF2"/>
    <w:lvl w:ilvl="0" w:tplc="D7F20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04"/>
    <w:rsid w:val="00270D0A"/>
    <w:rsid w:val="0028654A"/>
    <w:rsid w:val="00707704"/>
    <w:rsid w:val="00880D61"/>
    <w:rsid w:val="00C06B8A"/>
    <w:rsid w:val="00DF340E"/>
    <w:rsid w:val="00E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90F0"/>
  <w15:chartTrackingRefBased/>
  <w15:docId w15:val="{D087F6A5-021D-1B44-857A-DD90CEE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704"/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704"/>
    <w:pPr>
      <w:ind w:firstLineChars="200" w:firstLine="420"/>
    </w:pPr>
  </w:style>
  <w:style w:type="character" w:styleId="a4">
    <w:name w:val="Strong"/>
    <w:basedOn w:val="a0"/>
    <w:uiPriority w:val="22"/>
    <w:qFormat/>
    <w:rsid w:val="00707704"/>
    <w:rPr>
      <w:b/>
      <w:bCs/>
    </w:rPr>
  </w:style>
  <w:style w:type="character" w:customStyle="1" w:styleId="mi">
    <w:name w:val="mi"/>
    <w:basedOn w:val="a0"/>
    <w:rsid w:val="0070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旭</dc:creator>
  <cp:keywords/>
  <dc:description/>
  <cp:lastModifiedBy>王 旭</cp:lastModifiedBy>
  <cp:revision>4</cp:revision>
  <dcterms:created xsi:type="dcterms:W3CDTF">2020-03-06T15:02:00Z</dcterms:created>
  <dcterms:modified xsi:type="dcterms:W3CDTF">2020-03-06T15:30:00Z</dcterms:modified>
</cp:coreProperties>
</file>