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5"/>
        <w:gridCol w:w="9214"/>
      </w:tblGrid>
      <w:tr w:rsidR="00FC6D7A" w:rsidRPr="003C76B9" w14:paraId="1A029DB3" w14:textId="77777777" w:rsidTr="00536B87">
        <w:trPr>
          <w:trHeight w:val="300"/>
        </w:trPr>
        <w:tc>
          <w:tcPr>
            <w:tcW w:w="1268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BF6E6D8" w14:textId="503B63CD" w:rsidR="00FC6D7A" w:rsidRPr="005506FC" w:rsidRDefault="00B4145C" w:rsidP="00536B87">
            <w:pPr>
              <w:spacing w:line="360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Supplemental </w:t>
            </w:r>
            <w:r w:rsidR="00FC6D7A" w:rsidRPr="005506FC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file </w:t>
            </w:r>
            <w:r w:rsidR="0017347F" w:rsidRPr="005506FC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</w:t>
            </w:r>
            <w:r w:rsidR="00FC6D7A" w:rsidRPr="005506FC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. </w:t>
            </w:r>
            <w:r w:rsidR="00FC6D7A" w:rsidRPr="005506FC">
              <w:rPr>
                <w:rFonts w:ascii="Times New Roman" w:hAnsi="Times New Roman" w:cs="Times New Roman"/>
                <w:szCs w:val="20"/>
                <w:lang w:val="en-US"/>
              </w:rPr>
              <w:t>Summary of our study protocol</w:t>
            </w:r>
          </w:p>
        </w:tc>
      </w:tr>
      <w:tr w:rsidR="00FC6D7A" w:rsidRPr="00FC6D7A" w14:paraId="5FA11272" w14:textId="77777777" w:rsidTr="00536B87">
        <w:trPr>
          <w:trHeight w:val="315"/>
        </w:trPr>
        <w:tc>
          <w:tcPr>
            <w:tcW w:w="34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3CE412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Study design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0652BD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Prospective randomized controlled study</w:t>
            </w:r>
          </w:p>
        </w:tc>
      </w:tr>
      <w:tr w:rsidR="00FC6D7A" w:rsidRPr="00FC6D7A" w14:paraId="6E96E7BB" w14:textId="77777777" w:rsidTr="003D717B">
        <w:trPr>
          <w:trHeight w:val="315"/>
        </w:trPr>
        <w:tc>
          <w:tcPr>
            <w:tcW w:w="34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4D8DEF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4AE097" w14:textId="28FBFEEF" w:rsidR="00FC6D7A" w:rsidRPr="005506FC" w:rsidRDefault="001F394B" w:rsidP="00536B87">
            <w:pPr>
              <w:wordWrap/>
              <w:adjustRightInd w:val="0"/>
              <w:spacing w:line="360" w:lineRule="auto"/>
              <w:rPr>
                <w:rFonts w:ascii="Times New Roman" w:eastAsia="바탕" w:hAnsi="Times New Roman" w:cs="Times New Roman"/>
                <w:color w:val="000000"/>
                <w:kern w:val="0"/>
                <w:sz w:val="18"/>
                <w:szCs w:val="18"/>
                <w:lang w:val="en-US"/>
              </w:rPr>
            </w:pPr>
            <w:r w:rsidRPr="005506FC">
              <w:rPr>
                <w:rFonts w:ascii="Times New Roman" w:eastAsia="바탕" w:hAnsi="Times New Roman" w:cs="Times New Roman"/>
                <w:color w:val="000000"/>
                <w:kern w:val="0"/>
                <w:sz w:val="18"/>
                <w:szCs w:val="18"/>
                <w:lang w:val="en-US"/>
              </w:rPr>
              <w:t>No grants and financial support to declare.</w:t>
            </w:r>
          </w:p>
        </w:tc>
      </w:tr>
      <w:tr w:rsidR="00FC6D7A" w:rsidRPr="00FC6D7A" w14:paraId="308F145C" w14:textId="77777777" w:rsidTr="003D717B">
        <w:trPr>
          <w:trHeight w:val="315"/>
        </w:trPr>
        <w:tc>
          <w:tcPr>
            <w:tcW w:w="34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44D9D6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Trial registration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65A59C" w14:textId="5740D07A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International Committee of Medical Journal Editors (Clinical Research Information Service, Republic of Korea; approval number: KCT00043</w:t>
            </w:r>
            <w:r w:rsidR="00FD0034"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) on October </w:t>
            </w:r>
            <w:r w:rsidR="00FD0034"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18,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2019</w:t>
            </w:r>
          </w:p>
        </w:tc>
      </w:tr>
      <w:tr w:rsidR="00FC6D7A" w:rsidRPr="00FC6D7A" w14:paraId="28D39E81" w14:textId="77777777" w:rsidTr="003D717B">
        <w:trPr>
          <w:trHeight w:val="425"/>
        </w:trPr>
        <w:tc>
          <w:tcPr>
            <w:tcW w:w="34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0CDA38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Object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625E16" w14:textId="6014D20B" w:rsidR="001F394B" w:rsidRPr="005506FC" w:rsidRDefault="001F394B" w:rsidP="001F394B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To compare the effects of </w:t>
            </w:r>
            <w:r w:rsidR="005506FC" w:rsidRPr="005506FC">
              <w:rPr>
                <w:rFonts w:ascii="Times New Roman" w:hAnsi="Times New Roman"/>
                <w:sz w:val="18"/>
                <w:szCs w:val="18"/>
                <w:lang w:val="en-US"/>
              </w:rPr>
              <w:t>anesthetic</w:t>
            </w:r>
            <w:r w:rsidRPr="005506F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agents, intravenous propofol versus inhalational sevoflurane, on the quality of early recovery of healthy living kidney donors after hand-assisted laparoscopic nephrectomy under analgesic intrathecal morphine injection. </w:t>
            </w:r>
          </w:p>
          <w:p w14:paraId="141C9D84" w14:textId="783091C3" w:rsidR="00FC6D7A" w:rsidRPr="005506FC" w:rsidRDefault="00FC6D7A" w:rsidP="001F394B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</w:tr>
      <w:tr w:rsidR="00FC6D7A" w:rsidRPr="00FC6D7A" w14:paraId="6876AF31" w14:textId="77777777" w:rsidTr="003D717B">
        <w:trPr>
          <w:trHeight w:val="300"/>
        </w:trPr>
        <w:tc>
          <w:tcPr>
            <w:tcW w:w="1268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7494A0" w14:textId="5ABF0470" w:rsidR="00FC6D7A" w:rsidRPr="005506FC" w:rsidRDefault="00FC6D7A" w:rsidP="00536B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  <w:t>Enrolment</w:t>
            </w:r>
          </w:p>
        </w:tc>
      </w:tr>
      <w:tr w:rsidR="00FC6D7A" w:rsidRPr="00FC6D7A" w14:paraId="5A354A48" w14:textId="77777777" w:rsidTr="003D717B">
        <w:trPr>
          <w:trHeight w:val="300"/>
        </w:trPr>
        <w:tc>
          <w:tcPr>
            <w:tcW w:w="34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2BC850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Assessed for eligibility 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B072EA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D717B" w:rsidRPr="00FC6D7A" w14:paraId="0D543F40" w14:textId="77777777" w:rsidTr="003D7C5A">
        <w:trPr>
          <w:trHeight w:val="300"/>
        </w:trPr>
        <w:tc>
          <w:tcPr>
            <w:tcW w:w="1268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770DAB" w14:textId="21F074B3" w:rsidR="003D717B" w:rsidRPr="005506FC" w:rsidRDefault="003D717B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Physical and laboratory assessments before surgery</w:t>
            </w:r>
          </w:p>
        </w:tc>
      </w:tr>
      <w:tr w:rsidR="00FC6D7A" w:rsidRPr="00FC6D7A" w14:paraId="0647CBBD" w14:textId="77777777" w:rsidTr="003D717B">
        <w:trPr>
          <w:trHeight w:val="645"/>
        </w:trPr>
        <w:tc>
          <w:tcPr>
            <w:tcW w:w="34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0B43D4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Inclusion criteria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360417" w14:textId="07703936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1) Hand-assisted laparoscopic nephrectomy for kidney transplantation 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2) Elective surgery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3) ASA physical status I or II</w:t>
            </w:r>
          </w:p>
        </w:tc>
      </w:tr>
      <w:tr w:rsidR="00FC6D7A" w:rsidRPr="00FC6D7A" w14:paraId="2F1FB5B2" w14:textId="77777777" w:rsidTr="003D717B">
        <w:trPr>
          <w:trHeight w:val="1263"/>
        </w:trPr>
        <w:tc>
          <w:tcPr>
            <w:tcW w:w="34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5FBC00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Exclusion criteria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2BBF129" w14:textId="7A9EC60D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1) Emergency surgery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 xml:space="preserve">2) </w:t>
            </w:r>
            <w:r w:rsidR="001F394B"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ge&lt;19 years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3) ASA physical status III - V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 xml:space="preserve">4) Intraoperative hemodynamic instability 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5) Contraindication for intrathecal intervention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6) Refusal to participate in the study</w:t>
            </w:r>
          </w:p>
        </w:tc>
      </w:tr>
      <w:tr w:rsidR="00FC6D7A" w:rsidRPr="00FC6D7A" w14:paraId="081FB1DE" w14:textId="77777777" w:rsidTr="003D717B">
        <w:trPr>
          <w:trHeight w:val="559"/>
        </w:trPr>
        <w:tc>
          <w:tcPr>
            <w:tcW w:w="34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8A349E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Written informed consent for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119220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1) Participation of our study 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 xml:space="preserve">2) The use of intrathecal morphine intervention </w:t>
            </w:r>
          </w:p>
        </w:tc>
      </w:tr>
      <w:tr w:rsidR="00FC6D7A" w:rsidRPr="00FC6D7A" w14:paraId="20D668D0" w14:textId="77777777" w:rsidTr="003D717B">
        <w:trPr>
          <w:trHeight w:val="285"/>
        </w:trPr>
        <w:tc>
          <w:tcPr>
            <w:tcW w:w="1268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F735C4" w14:textId="77777777" w:rsidR="00FC6D7A" w:rsidRPr="005506FC" w:rsidRDefault="00FC6D7A" w:rsidP="00536B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  <w:t>Allocation</w:t>
            </w:r>
          </w:p>
        </w:tc>
      </w:tr>
      <w:tr w:rsidR="00FC6D7A" w:rsidRPr="00FC6D7A" w14:paraId="2E37272E" w14:textId="77777777" w:rsidTr="003D717B">
        <w:trPr>
          <w:trHeight w:val="360"/>
        </w:trPr>
        <w:tc>
          <w:tcPr>
            <w:tcW w:w="34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7FA769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 operating room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465BA9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C6D7A" w:rsidRPr="00FC6D7A" w14:paraId="3B003FCC" w14:textId="77777777" w:rsidTr="003D717B">
        <w:trPr>
          <w:trHeight w:val="300"/>
        </w:trPr>
        <w:tc>
          <w:tcPr>
            <w:tcW w:w="34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E6DFD0" w14:textId="43D5478F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Randomization of </w:t>
            </w:r>
            <w:r w:rsidR="005506FC"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anesthesia</w:t>
            </w: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techniques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E90470" w14:textId="6DD694BA" w:rsidR="00D84075" w:rsidRPr="005506FC" w:rsidRDefault="00D84075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The </w:t>
            </w:r>
            <w:r w:rsidR="005506FC"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randomization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using sealed, opaque envelopes</w:t>
            </w:r>
            <w:r w:rsidR="00454A11"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 attending </w:t>
            </w:r>
            <w:r w:rsidR="005506FC"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anesthesiologists</w:t>
            </w:r>
          </w:p>
          <w:p w14:paraId="260E5BB6" w14:textId="041CF4D3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1) Intravenous propofol group </w:t>
            </w:r>
          </w:p>
          <w:p w14:paraId="7824E8B4" w14:textId="0D9E8F25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2) </w:t>
            </w:r>
            <w:r w:rsidR="00454A11"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nhalational </w:t>
            </w:r>
            <w:r w:rsidR="00715307"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sevo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flurane group</w:t>
            </w:r>
          </w:p>
        </w:tc>
      </w:tr>
      <w:tr w:rsidR="00FC6D7A" w:rsidRPr="00FC6D7A" w14:paraId="7FD42897" w14:textId="77777777" w:rsidTr="003D717B">
        <w:trPr>
          <w:trHeight w:val="2259"/>
        </w:trPr>
        <w:tc>
          <w:tcPr>
            <w:tcW w:w="34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9C3913" w14:textId="0E009672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lastRenderedPageBreak/>
              <w:t xml:space="preserve">  Pain relief procedures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4637B6" w14:textId="7113003F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1) Intrathecal morphine intervention before the induction of general </w:t>
            </w:r>
            <w:r w:rsidR="005506FC"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anesthesia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 xml:space="preserve">    Regimen: 0.2 mg morphine </w:t>
            </w:r>
            <w:r w:rsidR="001F394B"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sulphate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mixed to total 0.9% saline 1.2 mL 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 xml:space="preserve">    Injection site: lumbar vertebrae 3 and 4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2) Intravenous patient controlled analgesia (IV-PCA) connected to living donors immediately after surgery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 xml:space="preserve">    Regimen: 1,000 μg fentanyl and 0.3 mg </w:t>
            </w:r>
            <w:r w:rsidR="009A0CB6"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ramoset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ron mix to total 0.9% saline 100 mL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 xml:space="preserve">    Program: 1 mL bolus injection without basal infusion of the IV-PCA solution and with a lockout time of 10 min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3) Rescue IV opioid drugs administration in the post-</w:t>
            </w:r>
            <w:r w:rsidR="005506FC"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anesthesia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care unit and ward (pain score more than 7 on a numeric rating scale [NRS]) </w:t>
            </w:r>
          </w:p>
        </w:tc>
      </w:tr>
      <w:tr w:rsidR="003D717B" w:rsidRPr="00FC6D7A" w14:paraId="04DA790E" w14:textId="77777777" w:rsidTr="003D717B">
        <w:trPr>
          <w:trHeight w:val="300"/>
        </w:trPr>
        <w:tc>
          <w:tcPr>
            <w:tcW w:w="1268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21C049" w14:textId="3D9E45D7" w:rsidR="003D717B" w:rsidRPr="005506FC" w:rsidRDefault="003D717B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Balanced </w:t>
            </w:r>
            <w:r w:rsidR="005506FC"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anesthesia</w:t>
            </w: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with multiple vital monitoring during surgery</w:t>
            </w:r>
          </w:p>
        </w:tc>
      </w:tr>
      <w:tr w:rsidR="00FC6D7A" w:rsidRPr="00FC6D7A" w14:paraId="02AB8E5E" w14:textId="77777777" w:rsidTr="003D717B">
        <w:trPr>
          <w:trHeight w:val="300"/>
        </w:trPr>
        <w:tc>
          <w:tcPr>
            <w:tcW w:w="1268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62BAF8" w14:textId="77777777" w:rsidR="00FC6D7A" w:rsidRPr="005506FC" w:rsidRDefault="00FC6D7A" w:rsidP="00536B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  <w:t>Follow-up during 24 h postoperatively</w:t>
            </w:r>
          </w:p>
        </w:tc>
      </w:tr>
      <w:tr w:rsidR="00FC6D7A" w:rsidRPr="00FC6D7A" w14:paraId="6B8B53C8" w14:textId="77777777" w:rsidTr="003D717B">
        <w:trPr>
          <w:trHeight w:val="300"/>
        </w:trPr>
        <w:tc>
          <w:tcPr>
            <w:tcW w:w="3475" w:type="dxa"/>
            <w:tcBorders>
              <w:top w:val="single" w:sz="4" w:space="0" w:color="auto"/>
            </w:tcBorders>
            <w:noWrap/>
            <w:hideMark/>
          </w:tcPr>
          <w:p w14:paraId="0A817090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Primary outcomes</w:t>
            </w:r>
          </w:p>
        </w:tc>
        <w:tc>
          <w:tcPr>
            <w:tcW w:w="9214" w:type="dxa"/>
            <w:tcBorders>
              <w:top w:val="single" w:sz="4" w:space="0" w:color="auto"/>
            </w:tcBorders>
            <w:noWrap/>
            <w:hideMark/>
          </w:tcPr>
          <w:p w14:paraId="22C7F193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</w:tr>
      <w:tr w:rsidR="00FC6D7A" w:rsidRPr="00FC6D7A" w14:paraId="5446EE61" w14:textId="77777777" w:rsidTr="003D717B">
        <w:trPr>
          <w:trHeight w:val="600"/>
        </w:trPr>
        <w:tc>
          <w:tcPr>
            <w:tcW w:w="3475" w:type="dxa"/>
            <w:tcBorders>
              <w:bottom w:val="single" w:sz="4" w:space="0" w:color="auto"/>
            </w:tcBorders>
            <w:noWrap/>
            <w:hideMark/>
          </w:tcPr>
          <w:p w14:paraId="5B1A03DF" w14:textId="03C3DF7F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The Korean version quality of recovery-40 questionnaire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hideMark/>
          </w:tcPr>
          <w:p w14:paraId="10136CF0" w14:textId="55BBF48A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1) Global score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2) Sub</w:t>
            </w:r>
            <w:r w:rsidR="009A0CB6"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scale 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scores: physical comfort, emotional state, psychological support, physical independence, and pain</w:t>
            </w:r>
          </w:p>
        </w:tc>
      </w:tr>
      <w:tr w:rsidR="00FC6D7A" w:rsidRPr="00FC6D7A" w14:paraId="4996D1CE" w14:textId="77777777" w:rsidTr="003D717B">
        <w:trPr>
          <w:trHeight w:val="300"/>
        </w:trPr>
        <w:tc>
          <w:tcPr>
            <w:tcW w:w="3475" w:type="dxa"/>
            <w:tcBorders>
              <w:top w:val="single" w:sz="4" w:space="0" w:color="auto"/>
            </w:tcBorders>
            <w:noWrap/>
            <w:hideMark/>
          </w:tcPr>
          <w:p w14:paraId="4033EC1C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Secondary outcomes</w:t>
            </w:r>
          </w:p>
        </w:tc>
        <w:tc>
          <w:tcPr>
            <w:tcW w:w="9214" w:type="dxa"/>
            <w:tcBorders>
              <w:top w:val="single" w:sz="4" w:space="0" w:color="auto"/>
            </w:tcBorders>
            <w:noWrap/>
            <w:hideMark/>
          </w:tcPr>
          <w:p w14:paraId="22F5C517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</w:tr>
      <w:tr w:rsidR="00FC6D7A" w:rsidRPr="00FC6D7A" w14:paraId="55D4FEC1" w14:textId="77777777" w:rsidTr="003D717B">
        <w:trPr>
          <w:trHeight w:val="600"/>
        </w:trPr>
        <w:tc>
          <w:tcPr>
            <w:tcW w:w="3475" w:type="dxa"/>
            <w:noWrap/>
            <w:hideMark/>
          </w:tcPr>
          <w:p w14:paraId="39FBAC7E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Successful ambulation rate (%)</w:t>
            </w:r>
          </w:p>
        </w:tc>
        <w:tc>
          <w:tcPr>
            <w:tcW w:w="9214" w:type="dxa"/>
            <w:hideMark/>
          </w:tcPr>
          <w:p w14:paraId="071543C1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1) Early ambulation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2) Late ambulation</w:t>
            </w:r>
          </w:p>
        </w:tc>
      </w:tr>
      <w:tr w:rsidR="00FC6D7A" w:rsidRPr="00FC6D7A" w14:paraId="1DEF2AA7" w14:textId="77777777" w:rsidTr="003D717B">
        <w:trPr>
          <w:trHeight w:val="900"/>
        </w:trPr>
        <w:tc>
          <w:tcPr>
            <w:tcW w:w="3475" w:type="dxa"/>
            <w:noWrap/>
            <w:hideMark/>
          </w:tcPr>
          <w:p w14:paraId="673E226E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Ambulation (foot-steps)</w:t>
            </w:r>
          </w:p>
        </w:tc>
        <w:tc>
          <w:tcPr>
            <w:tcW w:w="9214" w:type="dxa"/>
            <w:hideMark/>
          </w:tcPr>
          <w:p w14:paraId="55BBBA84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1) Early ambulation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2) Late ambulation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3) Total ambulation</w:t>
            </w:r>
          </w:p>
        </w:tc>
      </w:tr>
      <w:tr w:rsidR="00FC6D7A" w:rsidRPr="00FC6D7A" w14:paraId="6E429DE6" w14:textId="77777777" w:rsidTr="003D717B">
        <w:trPr>
          <w:trHeight w:val="600"/>
        </w:trPr>
        <w:tc>
          <w:tcPr>
            <w:tcW w:w="3475" w:type="dxa"/>
            <w:noWrap/>
            <w:hideMark/>
          </w:tcPr>
          <w:p w14:paraId="7B441431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Peak NRS score on wound site  </w:t>
            </w:r>
          </w:p>
        </w:tc>
        <w:tc>
          <w:tcPr>
            <w:tcW w:w="9214" w:type="dxa"/>
            <w:hideMark/>
          </w:tcPr>
          <w:p w14:paraId="7DC79F99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1) at rest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2) at cough</w:t>
            </w:r>
          </w:p>
        </w:tc>
      </w:tr>
      <w:tr w:rsidR="00FC6D7A" w:rsidRPr="00FC6D7A" w14:paraId="686D0E30" w14:textId="77777777" w:rsidTr="003D717B">
        <w:trPr>
          <w:trHeight w:val="600"/>
        </w:trPr>
        <w:tc>
          <w:tcPr>
            <w:tcW w:w="3475" w:type="dxa"/>
            <w:noWrap/>
            <w:hideMark/>
          </w:tcPr>
          <w:p w14:paraId="0CB0815C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Requirement of IV opioid</w:t>
            </w:r>
          </w:p>
        </w:tc>
        <w:tc>
          <w:tcPr>
            <w:tcW w:w="9214" w:type="dxa"/>
            <w:hideMark/>
          </w:tcPr>
          <w:p w14:paraId="6A5F6330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1) Total amount of IV-PCA infusion (mL)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  <w:t>2) Frequency of rescue IV opioid administration</w:t>
            </w:r>
          </w:p>
        </w:tc>
      </w:tr>
      <w:tr w:rsidR="00FC6D7A" w:rsidRPr="00FC6D7A" w14:paraId="4B008F3A" w14:textId="77777777" w:rsidTr="003D717B">
        <w:trPr>
          <w:trHeight w:val="300"/>
        </w:trPr>
        <w:tc>
          <w:tcPr>
            <w:tcW w:w="3475" w:type="dxa"/>
            <w:noWrap/>
            <w:hideMark/>
          </w:tcPr>
          <w:p w14:paraId="3AC63AE7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Complications</w:t>
            </w:r>
          </w:p>
        </w:tc>
        <w:tc>
          <w:tcPr>
            <w:tcW w:w="9214" w:type="dxa"/>
            <w:noWrap/>
            <w:hideMark/>
          </w:tcPr>
          <w:p w14:paraId="61CE863C" w14:textId="23DFFBCC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Nausea/vomiting; headache; shivering; respiration depression; pruritus</w:t>
            </w:r>
          </w:p>
        </w:tc>
      </w:tr>
      <w:tr w:rsidR="00FC6D7A" w:rsidRPr="00FC6D7A" w14:paraId="251849D1" w14:textId="77777777" w:rsidTr="003D717B">
        <w:trPr>
          <w:trHeight w:val="360"/>
        </w:trPr>
        <w:tc>
          <w:tcPr>
            <w:tcW w:w="3475" w:type="dxa"/>
            <w:tcBorders>
              <w:bottom w:val="single" w:sz="4" w:space="0" w:color="auto"/>
            </w:tcBorders>
            <w:noWrap/>
            <w:hideMark/>
          </w:tcPr>
          <w:p w14:paraId="6F837F55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Laboratory variables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noWrap/>
            <w:hideMark/>
          </w:tcPr>
          <w:p w14:paraId="22B8C2DC" w14:textId="11F75E6C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WBC count (x 10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9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/L); neutrophil (%); lymphocyte (%); </w:t>
            </w:r>
            <w:r w:rsidR="005506FC"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hemoglobin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(g/dL); platelet count (x 10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9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/L); creatinine (mg/dL); </w:t>
            </w: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albumin (g/dL); sodium (mEq/L); potassium (mEq/L); chloride (mEq/L)</w:t>
            </w:r>
          </w:p>
        </w:tc>
      </w:tr>
      <w:tr w:rsidR="00FC6D7A" w:rsidRPr="00FC6D7A" w14:paraId="082D3ED3" w14:textId="77777777" w:rsidTr="003D717B">
        <w:trPr>
          <w:trHeight w:val="300"/>
        </w:trPr>
        <w:tc>
          <w:tcPr>
            <w:tcW w:w="1268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D48CE0" w14:textId="77777777" w:rsidR="00FC6D7A" w:rsidRPr="005506FC" w:rsidRDefault="00FC6D7A" w:rsidP="00536B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  <w:lastRenderedPageBreak/>
              <w:t>Follow-up during postoperative hospital administration</w:t>
            </w:r>
          </w:p>
        </w:tc>
      </w:tr>
      <w:tr w:rsidR="00FC6D7A" w:rsidRPr="00FC6D7A" w14:paraId="33A480F7" w14:textId="77777777" w:rsidTr="003D717B">
        <w:trPr>
          <w:trHeight w:val="300"/>
        </w:trPr>
        <w:tc>
          <w:tcPr>
            <w:tcW w:w="3475" w:type="dxa"/>
            <w:tcBorders>
              <w:top w:val="single" w:sz="4" w:space="0" w:color="auto"/>
            </w:tcBorders>
            <w:noWrap/>
            <w:hideMark/>
          </w:tcPr>
          <w:p w14:paraId="4ACFE923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Clavien-Dindo classification </w:t>
            </w:r>
          </w:p>
        </w:tc>
        <w:tc>
          <w:tcPr>
            <w:tcW w:w="9214" w:type="dxa"/>
            <w:tcBorders>
              <w:top w:val="single" w:sz="4" w:space="0" w:color="auto"/>
            </w:tcBorders>
            <w:noWrap/>
            <w:hideMark/>
          </w:tcPr>
          <w:p w14:paraId="252FBE4E" w14:textId="68A85A1B" w:rsidR="00FC6D7A" w:rsidRPr="005506FC" w:rsidRDefault="00FC6D7A" w:rsidP="00536B87">
            <w:pPr>
              <w:tabs>
                <w:tab w:val="left" w:pos="1511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Degree of surgical complications</w:t>
            </w:r>
          </w:p>
        </w:tc>
      </w:tr>
      <w:tr w:rsidR="00FC6D7A" w:rsidRPr="00FC6D7A" w14:paraId="3C9A9B51" w14:textId="77777777" w:rsidTr="003D717B">
        <w:trPr>
          <w:trHeight w:val="300"/>
        </w:trPr>
        <w:tc>
          <w:tcPr>
            <w:tcW w:w="3475" w:type="dxa"/>
            <w:tcBorders>
              <w:bottom w:val="single" w:sz="4" w:space="0" w:color="auto"/>
            </w:tcBorders>
            <w:noWrap/>
            <w:hideMark/>
          </w:tcPr>
          <w:p w14:paraId="48F45A46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Total hospital period (days)</w:t>
            </w:r>
          </w:p>
        </w:tc>
        <w:tc>
          <w:tcPr>
            <w:tcW w:w="9214" w:type="dxa"/>
            <w:tcBorders>
              <w:bottom w:val="single" w:sz="4" w:space="0" w:color="auto"/>
            </w:tcBorders>
            <w:noWrap/>
            <w:hideMark/>
          </w:tcPr>
          <w:p w14:paraId="61380166" w14:textId="77777777" w:rsidR="00FC6D7A" w:rsidRPr="005506FC" w:rsidRDefault="00FC6D7A" w:rsidP="00536B8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C6D7A" w:rsidRPr="00FC6D7A" w14:paraId="09156CA9" w14:textId="77777777" w:rsidTr="003D717B">
        <w:trPr>
          <w:trHeight w:val="510"/>
        </w:trPr>
        <w:tc>
          <w:tcPr>
            <w:tcW w:w="1268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455688" w14:textId="77777777" w:rsidR="00FC6D7A" w:rsidRPr="005506FC" w:rsidRDefault="00FC6D7A" w:rsidP="00536B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</w:pPr>
            <w:r w:rsidRPr="005506F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  <w:t>Analysis of study data</w:t>
            </w:r>
          </w:p>
        </w:tc>
      </w:tr>
    </w:tbl>
    <w:p w14:paraId="40AD471C" w14:textId="77777777" w:rsidR="000E66E3" w:rsidRPr="00730A57" w:rsidRDefault="000E66E3"/>
    <w:sectPr w:rsidR="000E66E3" w:rsidRPr="00730A57" w:rsidSect="00FC6D7A">
      <w:footerReference w:type="default" r:id="rId8"/>
      <w:pgSz w:w="15840" w:h="12240" w:orient="landscape" w:code="1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4F7B9" w14:textId="77777777" w:rsidR="00592FB9" w:rsidRDefault="00592FB9" w:rsidP="009E7A75">
      <w:pPr>
        <w:spacing w:after="0" w:line="240" w:lineRule="auto"/>
      </w:pPr>
      <w:r>
        <w:separator/>
      </w:r>
    </w:p>
  </w:endnote>
  <w:endnote w:type="continuationSeparator" w:id="0">
    <w:p w14:paraId="1D6E26C9" w14:textId="77777777" w:rsidR="00592FB9" w:rsidRDefault="00592FB9" w:rsidP="009E7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7643886"/>
      <w:docPartObj>
        <w:docPartGallery w:val="Page Numbers (Bottom of Page)"/>
        <w:docPartUnique/>
      </w:docPartObj>
    </w:sdtPr>
    <w:sdtEndPr/>
    <w:sdtContent>
      <w:p w14:paraId="150E99D2" w14:textId="77777777" w:rsidR="009E7A75" w:rsidRDefault="009E7A7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45C" w:rsidRPr="00B4145C">
          <w:rPr>
            <w:noProof/>
            <w:lang w:val="ko-KR"/>
          </w:rPr>
          <w:t>1</w:t>
        </w:r>
        <w:r>
          <w:fldChar w:fldCharType="end"/>
        </w:r>
      </w:p>
    </w:sdtContent>
  </w:sdt>
  <w:p w14:paraId="6C2FB9CB" w14:textId="77777777" w:rsidR="009E7A75" w:rsidRDefault="009E7A7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21827F" w14:textId="77777777" w:rsidR="00592FB9" w:rsidRDefault="00592FB9" w:rsidP="009E7A75">
      <w:pPr>
        <w:spacing w:after="0" w:line="240" w:lineRule="auto"/>
      </w:pPr>
      <w:r>
        <w:separator/>
      </w:r>
    </w:p>
  </w:footnote>
  <w:footnote w:type="continuationSeparator" w:id="0">
    <w:p w14:paraId="22801330" w14:textId="77777777" w:rsidR="00592FB9" w:rsidRDefault="00592FB9" w:rsidP="009E7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40E80"/>
    <w:multiLevelType w:val="hybridMultilevel"/>
    <w:tmpl w:val="CCEAE522"/>
    <w:lvl w:ilvl="0" w:tplc="274E23A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3F47C51"/>
    <w:multiLevelType w:val="hybridMultilevel"/>
    <w:tmpl w:val="4F807B60"/>
    <w:lvl w:ilvl="0" w:tplc="9014F7A0">
      <w:start w:val="1"/>
      <w:numFmt w:val="upperRoman"/>
      <w:lvlText w:val="%1)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C06"/>
    <w:rsid w:val="00050733"/>
    <w:rsid w:val="000C7DD3"/>
    <w:rsid w:val="000E66E3"/>
    <w:rsid w:val="0017347F"/>
    <w:rsid w:val="001A7222"/>
    <w:rsid w:val="001F394B"/>
    <w:rsid w:val="002A1A74"/>
    <w:rsid w:val="00352AAE"/>
    <w:rsid w:val="003638C1"/>
    <w:rsid w:val="003C76B9"/>
    <w:rsid w:val="003D717B"/>
    <w:rsid w:val="00413DF1"/>
    <w:rsid w:val="00454A11"/>
    <w:rsid w:val="00536B87"/>
    <w:rsid w:val="005506FC"/>
    <w:rsid w:val="005552CF"/>
    <w:rsid w:val="00592FB9"/>
    <w:rsid w:val="005961AC"/>
    <w:rsid w:val="005A56AD"/>
    <w:rsid w:val="005E38AC"/>
    <w:rsid w:val="00715307"/>
    <w:rsid w:val="00730A57"/>
    <w:rsid w:val="00767BDD"/>
    <w:rsid w:val="008C3D00"/>
    <w:rsid w:val="0096229D"/>
    <w:rsid w:val="009A0CB6"/>
    <w:rsid w:val="009E2113"/>
    <w:rsid w:val="009E7A75"/>
    <w:rsid w:val="009F568F"/>
    <w:rsid w:val="00B4145C"/>
    <w:rsid w:val="00BB2CED"/>
    <w:rsid w:val="00BF48FA"/>
    <w:rsid w:val="00C94006"/>
    <w:rsid w:val="00CC7C06"/>
    <w:rsid w:val="00CD5ACF"/>
    <w:rsid w:val="00D217F6"/>
    <w:rsid w:val="00D707A3"/>
    <w:rsid w:val="00D84075"/>
    <w:rsid w:val="00DF0ED6"/>
    <w:rsid w:val="00E51A19"/>
    <w:rsid w:val="00FA725B"/>
    <w:rsid w:val="00FC6D7A"/>
    <w:rsid w:val="00FD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3A9729"/>
  <w15:docId w15:val="{6953E95C-6168-4AA6-9698-45224A59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7A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E7A75"/>
  </w:style>
  <w:style w:type="paragraph" w:styleId="a4">
    <w:name w:val="footer"/>
    <w:basedOn w:val="a"/>
    <w:link w:val="Char0"/>
    <w:uiPriority w:val="99"/>
    <w:unhideWhenUsed/>
    <w:rsid w:val="009E7A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E7A75"/>
  </w:style>
  <w:style w:type="table" w:styleId="a5">
    <w:name w:val="Table Grid"/>
    <w:basedOn w:val="a1"/>
    <w:uiPriority w:val="39"/>
    <w:rsid w:val="00FC6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C6D7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8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56149-F70B-4917-9680-C195B3E75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 minsuk</dc:creator>
  <cp:keywords/>
  <dc:description/>
  <cp:lastModifiedBy>한 상빈</cp:lastModifiedBy>
  <cp:revision>36</cp:revision>
  <dcterms:created xsi:type="dcterms:W3CDTF">2020-03-26T14:03:00Z</dcterms:created>
  <dcterms:modified xsi:type="dcterms:W3CDTF">2020-07-27T04:33:00Z</dcterms:modified>
</cp:coreProperties>
</file>