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AEE33" w14:textId="516A6BFC" w:rsidR="007605FE" w:rsidRPr="005448FF" w:rsidRDefault="007605FE" w:rsidP="007605FE">
      <w:pPr>
        <w:pStyle w:val="BodyText"/>
        <w:spacing w:after="0" w:line="276" w:lineRule="auto"/>
        <w:rPr>
          <w:rFonts w:ascii="Baskerville" w:hAnsi="Baskerville"/>
          <w:color w:val="000000" w:themeColor="text1"/>
          <w:sz w:val="24"/>
          <w:szCs w:val="24"/>
        </w:rPr>
      </w:pPr>
      <w:r w:rsidRPr="005448FF">
        <w:rPr>
          <w:rFonts w:ascii="Baskerville" w:hAnsi="Baskerville"/>
          <w:i/>
          <w:color w:val="000000" w:themeColor="text1"/>
          <w:sz w:val="24"/>
          <w:szCs w:val="24"/>
        </w:rPr>
        <w:t>Summary of evidence level for each of the 22 components of ERSS</w:t>
      </w:r>
    </w:p>
    <w:tbl>
      <w:tblPr>
        <w:tblStyle w:val="TableGrid"/>
        <w:tblpPr w:leftFromText="180" w:rightFromText="180" w:vertAnchor="text" w:horzAnchor="page" w:tblpX="510" w:tblpY="149"/>
        <w:tblW w:w="11515" w:type="dxa"/>
        <w:tblLook w:val="04A0" w:firstRow="1" w:lastRow="0" w:firstColumn="1" w:lastColumn="0" w:noHBand="0" w:noVBand="1"/>
      </w:tblPr>
      <w:tblGrid>
        <w:gridCol w:w="4765"/>
        <w:gridCol w:w="6750"/>
      </w:tblGrid>
      <w:tr w:rsidR="007605FE" w:rsidRPr="005448FF" w14:paraId="043A4199" w14:textId="77777777" w:rsidTr="00FB3595">
        <w:tc>
          <w:tcPr>
            <w:tcW w:w="4765" w:type="dxa"/>
            <w:tcBorders>
              <w:top w:val="single" w:sz="4" w:space="0" w:color="auto"/>
            </w:tcBorders>
          </w:tcPr>
          <w:p w14:paraId="3930E76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  <w:t>ERAS Element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242A4232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  <w:t>Evidence level</w:t>
            </w:r>
          </w:p>
        </w:tc>
      </w:tr>
      <w:tr w:rsidR="007605FE" w:rsidRPr="005448FF" w14:paraId="4BEC0137" w14:textId="77777777" w:rsidTr="00FB3595">
        <w:trPr>
          <w:trHeight w:val="609"/>
        </w:trPr>
        <w:tc>
          <w:tcPr>
            <w:tcW w:w="4765" w:type="dxa"/>
          </w:tcPr>
          <w:p w14:paraId="49F33E5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1.Preadmission information, education and counseling</w:t>
            </w:r>
          </w:p>
        </w:tc>
        <w:tc>
          <w:tcPr>
            <w:tcW w:w="6750" w:type="dxa"/>
            <w:tcBorders>
              <w:top w:val="single" w:sz="4" w:space="0" w:color="auto"/>
            </w:tcBorders>
          </w:tcPr>
          <w:p w14:paraId="13AC169B" w14:textId="77777777" w:rsidR="007605FE" w:rsidRPr="009D5252" w:rsidRDefault="007605FE" w:rsidP="00FB3595">
            <w:pPr>
              <w:pStyle w:val="BodyText"/>
              <w:spacing w:after="0" w:line="276" w:lineRule="auto"/>
              <w:rPr>
                <w:color w:val="000000" w:themeColor="text1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There is limited specific evidence for the intervention in surgery of the spine;</w:t>
            </w:r>
          </w:p>
        </w:tc>
      </w:tr>
      <w:tr w:rsidR="007605FE" w:rsidRPr="005448FF" w14:paraId="251E4855" w14:textId="77777777" w:rsidTr="00FB3595">
        <w:trPr>
          <w:trHeight w:val="528"/>
        </w:trPr>
        <w:tc>
          <w:tcPr>
            <w:tcW w:w="4765" w:type="dxa"/>
          </w:tcPr>
          <w:p w14:paraId="37F76AB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2.Risk assessment, preoperative optimization, including lifestyle factor modification</w:t>
            </w:r>
          </w:p>
        </w:tc>
        <w:tc>
          <w:tcPr>
            <w:tcW w:w="6750" w:type="dxa"/>
          </w:tcPr>
          <w:p w14:paraId="29C55F6C" w14:textId="77777777" w:rsidR="007605FE" w:rsidRPr="005448FF" w:rsidRDefault="007605FE" w:rsidP="00FB3595">
            <w:pPr>
              <w:spacing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  <w:p w14:paraId="13EA788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</w:tr>
      <w:tr w:rsidR="007605FE" w:rsidRPr="005448FF" w14:paraId="5310BBE7" w14:textId="77777777" w:rsidTr="00FB3595">
        <w:trPr>
          <w:trHeight w:val="583"/>
        </w:trPr>
        <w:tc>
          <w:tcPr>
            <w:tcW w:w="4765" w:type="dxa"/>
          </w:tcPr>
          <w:p w14:paraId="15C9995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2.1 Preoperative risk stratification</w:t>
            </w:r>
            <w:r w:rsidRPr="005448FF" w:rsidDel="00247631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750" w:type="dxa"/>
          </w:tcPr>
          <w:p w14:paraId="720C0B0C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evidence in support of individualized risk stratification tool;</w:t>
            </w:r>
          </w:p>
        </w:tc>
      </w:tr>
      <w:tr w:rsidR="007605FE" w:rsidRPr="005448FF" w14:paraId="47790ED1" w14:textId="77777777" w:rsidTr="00FB3595">
        <w:trPr>
          <w:trHeight w:val="321"/>
        </w:trPr>
        <w:tc>
          <w:tcPr>
            <w:tcW w:w="4765" w:type="dxa"/>
          </w:tcPr>
          <w:p w14:paraId="4405602A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2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Preoperative assessment and optimization</w:t>
            </w:r>
          </w:p>
        </w:tc>
        <w:tc>
          <w:tcPr>
            <w:tcW w:w="6750" w:type="dxa"/>
          </w:tcPr>
          <w:p w14:paraId="1D46FD8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due to a limited number of heterogenous studies;</w:t>
            </w:r>
          </w:p>
        </w:tc>
      </w:tr>
      <w:tr w:rsidR="007605FE" w:rsidRPr="005448FF" w14:paraId="04878ED8" w14:textId="77777777" w:rsidTr="00FB3595">
        <w:trPr>
          <w:trHeight w:val="326"/>
        </w:trPr>
        <w:tc>
          <w:tcPr>
            <w:tcW w:w="4765" w:type="dxa"/>
          </w:tcPr>
          <w:p w14:paraId="0A3A3B8D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2.3 Alcohol use</w:t>
            </w:r>
          </w:p>
        </w:tc>
        <w:tc>
          <w:tcPr>
            <w:tcW w:w="6750" w:type="dxa"/>
          </w:tcPr>
          <w:p w14:paraId="770B389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due to heterogenous endpoints;</w:t>
            </w:r>
          </w:p>
        </w:tc>
      </w:tr>
      <w:tr w:rsidR="007605FE" w:rsidRPr="005448FF" w14:paraId="7833EA00" w14:textId="77777777" w:rsidTr="00FB3595">
        <w:trPr>
          <w:trHeight w:val="330"/>
        </w:trPr>
        <w:tc>
          <w:tcPr>
            <w:tcW w:w="4765" w:type="dxa"/>
          </w:tcPr>
          <w:p w14:paraId="5F7FA3BF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2.4 Tobacco use</w:t>
            </w:r>
          </w:p>
        </w:tc>
        <w:tc>
          <w:tcPr>
            <w:tcW w:w="6750" w:type="dxa"/>
          </w:tcPr>
          <w:p w14:paraId="3EB9C7D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High quality evidence base;</w:t>
            </w:r>
          </w:p>
        </w:tc>
      </w:tr>
      <w:tr w:rsidR="007605FE" w:rsidRPr="005448FF" w14:paraId="47FD855C" w14:textId="77777777" w:rsidTr="00FB3595">
        <w:tc>
          <w:tcPr>
            <w:tcW w:w="4765" w:type="dxa"/>
          </w:tcPr>
          <w:p w14:paraId="7AA507F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3.Prehabilitation</w:t>
            </w:r>
          </w:p>
        </w:tc>
        <w:tc>
          <w:tcPr>
            <w:tcW w:w="6750" w:type="dxa"/>
          </w:tcPr>
          <w:p w14:paraId="282FAC9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Low quality evidence for impact of multimodal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prehabilitation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</w:tc>
      </w:tr>
      <w:tr w:rsidR="007605FE" w:rsidRPr="005448FF" w14:paraId="13239F26" w14:textId="77777777" w:rsidTr="00FB3595">
        <w:trPr>
          <w:trHeight w:val="374"/>
        </w:trPr>
        <w:tc>
          <w:tcPr>
            <w:tcW w:w="4765" w:type="dxa"/>
          </w:tcPr>
          <w:p w14:paraId="63F1E619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4. Preoperative Nutritional Care</w:t>
            </w:r>
          </w:p>
        </w:tc>
        <w:tc>
          <w:tcPr>
            <w:tcW w:w="6750" w:type="dxa"/>
          </w:tcPr>
          <w:p w14:paraId="5215387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</w:tr>
      <w:tr w:rsidR="007605FE" w:rsidRPr="005448FF" w14:paraId="28C6E5B7" w14:textId="77777777" w:rsidTr="00FB3595">
        <w:trPr>
          <w:trHeight w:val="339"/>
        </w:trPr>
        <w:tc>
          <w:tcPr>
            <w:tcW w:w="4765" w:type="dxa"/>
          </w:tcPr>
          <w:p w14:paraId="589D2296" w14:textId="77777777" w:rsidR="007605FE" w:rsidRPr="005448FF" w:rsidRDefault="007605FE" w:rsidP="00FB3595">
            <w:pPr>
              <w:pStyle w:val="BodyText"/>
              <w:keepNext/>
              <w:keepLines/>
              <w:spacing w:after="0" w:line="276" w:lineRule="auto"/>
              <w:outlineLvl w:val="7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4.1. Nutritional Assessment and Screening</w:t>
            </w:r>
          </w:p>
        </w:tc>
        <w:tc>
          <w:tcPr>
            <w:tcW w:w="6750" w:type="dxa"/>
          </w:tcPr>
          <w:p w14:paraId="1F44ADA9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risk assessment;</w:t>
            </w:r>
          </w:p>
        </w:tc>
      </w:tr>
      <w:tr w:rsidR="007605FE" w:rsidRPr="005448FF" w14:paraId="7B0342D8" w14:textId="77777777" w:rsidTr="00FB3595">
        <w:trPr>
          <w:trHeight w:val="330"/>
        </w:trPr>
        <w:tc>
          <w:tcPr>
            <w:tcW w:w="4765" w:type="dxa"/>
          </w:tcPr>
          <w:p w14:paraId="7167759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4.2 Immune-nutrition</w:t>
            </w:r>
          </w:p>
        </w:tc>
        <w:tc>
          <w:tcPr>
            <w:tcW w:w="6750" w:type="dxa"/>
          </w:tcPr>
          <w:p w14:paraId="29173970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Very low quality evidence;</w:t>
            </w:r>
          </w:p>
        </w:tc>
      </w:tr>
      <w:tr w:rsidR="007605FE" w:rsidRPr="005448FF" w14:paraId="43A3B104" w14:textId="77777777" w:rsidTr="00FB3595">
        <w:trPr>
          <w:trHeight w:val="307"/>
        </w:trPr>
        <w:tc>
          <w:tcPr>
            <w:tcW w:w="4765" w:type="dxa"/>
          </w:tcPr>
          <w:p w14:paraId="47284B69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5. Management of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anaemia</w:t>
            </w:r>
            <w:proofErr w:type="spellEnd"/>
          </w:p>
        </w:tc>
        <w:tc>
          <w:tcPr>
            <w:tcW w:w="6750" w:type="dxa"/>
          </w:tcPr>
          <w:p w14:paraId="6FE1C732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Moderate quality for correcting  iron deficiency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anaemia</w:t>
            </w:r>
            <w:proofErr w:type="spellEnd"/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605FE" w:rsidRPr="005448FF" w14:paraId="7FC0DAD2" w14:textId="77777777" w:rsidTr="00FB3595">
        <w:trPr>
          <w:trHeight w:val="240"/>
        </w:trPr>
        <w:tc>
          <w:tcPr>
            <w:tcW w:w="4765" w:type="dxa"/>
          </w:tcPr>
          <w:p w14:paraId="79CAB6FF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6.  Perioperative blood conservation strategies</w:t>
            </w:r>
          </w:p>
        </w:tc>
        <w:tc>
          <w:tcPr>
            <w:tcW w:w="6750" w:type="dxa"/>
          </w:tcPr>
          <w:p w14:paraId="70DB5EF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High quality for antifibrinolytic use when indicated;  </w:t>
            </w:r>
          </w:p>
          <w:p w14:paraId="2AD69C7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Moderate quality for cell saver </w:t>
            </w:r>
            <w:proofErr w:type="gram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use</w:t>
            </w:r>
            <w:proofErr w:type="gram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when significant blood loss is anticipated;</w:t>
            </w:r>
          </w:p>
          <w:p w14:paraId="063D7BBE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Low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quality for use of point of care testing;</w:t>
            </w:r>
          </w:p>
        </w:tc>
      </w:tr>
      <w:tr w:rsidR="007605FE" w:rsidRPr="005448FF" w14:paraId="4D419325" w14:textId="77777777" w:rsidTr="00FB3595">
        <w:trPr>
          <w:trHeight w:val="654"/>
        </w:trPr>
        <w:tc>
          <w:tcPr>
            <w:tcW w:w="4765" w:type="dxa"/>
            <w:tcBorders>
              <w:bottom w:val="single" w:sz="4" w:space="0" w:color="auto"/>
            </w:tcBorders>
          </w:tcPr>
          <w:p w14:paraId="2497B056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7.Preoperative fasting and carbohydrate loading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14:paraId="6A54AB6E" w14:textId="77777777" w:rsidR="007605FE" w:rsidRPr="009D5252" w:rsidRDefault="007605FE" w:rsidP="00FB3595">
            <w:pPr>
              <w:spacing w:line="276" w:lineRule="auto"/>
              <w:rPr>
                <w:color w:val="000000" w:themeColor="text1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High quality for adherence to standardized societal fasting guidelines;</w:t>
            </w:r>
          </w:p>
        </w:tc>
      </w:tr>
      <w:tr w:rsidR="007605FE" w:rsidRPr="005448FF" w14:paraId="6EDC5BC4" w14:textId="77777777" w:rsidTr="00FB3595">
        <w:trPr>
          <w:trHeight w:val="406"/>
        </w:trPr>
        <w:tc>
          <w:tcPr>
            <w:tcW w:w="4765" w:type="dxa"/>
            <w:tcBorders>
              <w:bottom w:val="single" w:sz="4" w:space="0" w:color="auto"/>
            </w:tcBorders>
          </w:tcPr>
          <w:p w14:paraId="67B6D9C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8. Pre-emptive analgesia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14:paraId="6CCD208C" w14:textId="77777777" w:rsidR="007605FE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High quality for pre-emptive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gabapentinoid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administration;</w:t>
            </w:r>
          </w:p>
          <w:p w14:paraId="14668DBA" w14:textId="77777777" w:rsidR="007605FE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pre-emptive multimodal regimes;</w:t>
            </w:r>
          </w:p>
          <w:p w14:paraId="3D57DD9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for individual pre-emptive NSAID administration;</w:t>
            </w:r>
          </w:p>
        </w:tc>
      </w:tr>
      <w:tr w:rsidR="007605FE" w:rsidRPr="005448FF" w14:paraId="15AFA9C4" w14:textId="77777777" w:rsidTr="00FB3595">
        <w:trPr>
          <w:trHeight w:val="620"/>
        </w:trPr>
        <w:tc>
          <w:tcPr>
            <w:tcW w:w="4765" w:type="dxa"/>
            <w:tcBorders>
              <w:bottom w:val="single" w:sz="4" w:space="0" w:color="auto"/>
            </w:tcBorders>
          </w:tcPr>
          <w:p w14:paraId="16B968B7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9. Prevention of postoperative nausea and vomiting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14:paraId="61F2E75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High quality for risk stratification;</w:t>
            </w:r>
          </w:p>
          <w:p w14:paraId="3EA274B6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High quality for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anaesthetic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techniques and antiemetic use as per recommended societal guidelines;</w:t>
            </w:r>
          </w:p>
          <w:p w14:paraId="79643E1C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Moderate quality for </w:t>
            </w:r>
            <w:proofErr w:type="spellStart"/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anaesthetic</w:t>
            </w:r>
            <w:proofErr w:type="spellEnd"/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techniques which minimize risk of PONV</w:t>
            </w:r>
          </w:p>
        </w:tc>
      </w:tr>
      <w:tr w:rsidR="007605FE" w:rsidRPr="005448FF" w14:paraId="7EA5BDEF" w14:textId="77777777" w:rsidTr="00FB3595">
        <w:trPr>
          <w:trHeight w:val="384"/>
        </w:trPr>
        <w:tc>
          <w:tcPr>
            <w:tcW w:w="4765" w:type="dxa"/>
          </w:tcPr>
          <w:p w14:paraId="0F1085C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10.</w:t>
            </w:r>
            <w:r w:rsidRPr="005448FF"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Surgical site preparation and prophylaxis</w:t>
            </w:r>
          </w:p>
        </w:tc>
        <w:tc>
          <w:tcPr>
            <w:tcW w:w="6750" w:type="dxa"/>
          </w:tcPr>
          <w:p w14:paraId="07E88793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</w:tr>
      <w:tr w:rsidR="007605FE" w:rsidRPr="005448FF" w14:paraId="3E4F3547" w14:textId="77777777" w:rsidTr="00FB3595">
        <w:trPr>
          <w:trHeight w:val="750"/>
        </w:trPr>
        <w:tc>
          <w:tcPr>
            <w:tcW w:w="4765" w:type="dxa"/>
          </w:tcPr>
          <w:p w14:paraId="3774681F" w14:textId="77777777" w:rsidR="007605FE" w:rsidRPr="005448FF" w:rsidRDefault="007605FE" w:rsidP="00FB3595">
            <w:pPr>
              <w:pStyle w:val="BodyText"/>
              <w:spacing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10.1 Surgical site preparation</w:t>
            </w:r>
          </w:p>
        </w:tc>
        <w:tc>
          <w:tcPr>
            <w:tcW w:w="6750" w:type="dxa"/>
          </w:tcPr>
          <w:p w14:paraId="07CB2F21" w14:textId="77777777" w:rsidR="007605FE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High quality for using the alcohol-based skin preparations;</w:t>
            </w:r>
          </w:p>
          <w:p w14:paraId="18DBAB81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decreasing the bacterial load with CHG;</w:t>
            </w:r>
          </w:p>
        </w:tc>
      </w:tr>
      <w:tr w:rsidR="007605FE" w:rsidRPr="005448FF" w14:paraId="46177CAC" w14:textId="77777777" w:rsidTr="00FB3595">
        <w:trPr>
          <w:trHeight w:val="717"/>
        </w:trPr>
        <w:tc>
          <w:tcPr>
            <w:tcW w:w="4765" w:type="dxa"/>
          </w:tcPr>
          <w:p w14:paraId="7FBBAE3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10.2 Antimicrobial prophylaxis</w:t>
            </w:r>
          </w:p>
          <w:p w14:paraId="5E179AD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4A9C3E17" w14:textId="77777777" w:rsidR="007605FE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High quality for intra-operative antibiotic prophylaxis;</w:t>
            </w:r>
          </w:p>
          <w:p w14:paraId="6706C83A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quality evidence for use of intravenous vancomycin in patients at risk of MRSA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</w:t>
            </w:r>
          </w:p>
          <w:p w14:paraId="0A3C4B0A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use of intraoperative vancomycin powder;</w:t>
            </w:r>
          </w:p>
        </w:tc>
      </w:tr>
      <w:tr w:rsidR="007605FE" w:rsidRPr="005448FF" w14:paraId="043802BD" w14:textId="77777777" w:rsidTr="00FB3595">
        <w:tc>
          <w:tcPr>
            <w:tcW w:w="4765" w:type="dxa"/>
          </w:tcPr>
          <w:p w14:paraId="0E16BB9D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11.Local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anaesthetic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infiltration</w:t>
            </w:r>
          </w:p>
          <w:p w14:paraId="19282372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33E482BD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quality;</w:t>
            </w:r>
          </w:p>
          <w:p w14:paraId="60785A9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</w:tr>
      <w:tr w:rsidR="007605FE" w:rsidRPr="005448FF" w14:paraId="27C01C14" w14:textId="77777777" w:rsidTr="00FB3595">
        <w:tc>
          <w:tcPr>
            <w:tcW w:w="4765" w:type="dxa"/>
          </w:tcPr>
          <w:p w14:paraId="73CDC2C1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12. Standard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Anaesthetic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protocol</w:t>
            </w:r>
          </w:p>
          <w:p w14:paraId="37B56BDC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45F7B99A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quality for total intravenous </w:t>
            </w:r>
            <w:proofErr w:type="spellStart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anaesthesia</w:t>
            </w:r>
            <w:proofErr w:type="spellEnd"/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use in spine surgery;</w:t>
            </w:r>
          </w:p>
          <w:p w14:paraId="4B982B40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lastRenderedPageBreak/>
              <w:t>Low quality for continuous intra-operative remifentanil infusion use in spine surgery;</w:t>
            </w:r>
          </w:p>
        </w:tc>
      </w:tr>
      <w:tr w:rsidR="007605FE" w:rsidRPr="005448FF" w14:paraId="35814D84" w14:textId="77777777" w:rsidTr="00FB3595">
        <w:trPr>
          <w:trHeight w:val="624"/>
        </w:trPr>
        <w:tc>
          <w:tcPr>
            <w:tcW w:w="4765" w:type="dxa"/>
          </w:tcPr>
          <w:p w14:paraId="1001FF57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lastRenderedPageBreak/>
              <w:t>13. Surgical access- open and minimally invasive spinal surgery</w:t>
            </w:r>
          </w:p>
        </w:tc>
        <w:tc>
          <w:tcPr>
            <w:tcW w:w="6750" w:type="dxa"/>
          </w:tcPr>
          <w:p w14:paraId="37AD5870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the intervention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when clinically appropriate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  <w:p w14:paraId="1026A47F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</w:tr>
      <w:tr w:rsidR="007605FE" w:rsidRPr="005448FF" w14:paraId="05F4ABFE" w14:textId="77777777" w:rsidTr="00FB3595">
        <w:trPr>
          <w:trHeight w:val="83"/>
        </w:trPr>
        <w:tc>
          <w:tcPr>
            <w:tcW w:w="4765" w:type="dxa"/>
          </w:tcPr>
          <w:p w14:paraId="3C878F5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14. Maintenance of normothermia</w:t>
            </w:r>
          </w:p>
        </w:tc>
        <w:tc>
          <w:tcPr>
            <w:tcW w:w="6750" w:type="dxa"/>
          </w:tcPr>
          <w:p w14:paraId="3792633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maintenance of intraoperative normothermia;</w:t>
            </w:r>
          </w:p>
        </w:tc>
      </w:tr>
      <w:tr w:rsidR="007605FE" w:rsidRPr="005448FF" w14:paraId="786F5A40" w14:textId="77777777" w:rsidTr="00FB3595">
        <w:tc>
          <w:tcPr>
            <w:tcW w:w="4765" w:type="dxa"/>
          </w:tcPr>
          <w:p w14:paraId="1676EA8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15. Intraoperative fluid and electrolyte therapy</w:t>
            </w:r>
          </w:p>
        </w:tc>
        <w:tc>
          <w:tcPr>
            <w:tcW w:w="6750" w:type="dxa"/>
          </w:tcPr>
          <w:p w14:paraId="6B10A3F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for goal-directed intraoperative fluid management;</w:t>
            </w:r>
          </w:p>
        </w:tc>
      </w:tr>
      <w:tr w:rsidR="007605FE" w:rsidRPr="005448FF" w14:paraId="6A4174D1" w14:textId="77777777" w:rsidTr="00FB3595">
        <w:tc>
          <w:tcPr>
            <w:tcW w:w="4765" w:type="dxa"/>
          </w:tcPr>
          <w:p w14:paraId="62E63E83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16. Peri-operative analgesia</w:t>
            </w:r>
          </w:p>
          <w:p w14:paraId="35F90BC5" w14:textId="77777777" w:rsidR="007605FE" w:rsidRPr="005448FF" w:rsidRDefault="007605FE" w:rsidP="00FB3595">
            <w:pPr>
              <w:pStyle w:val="BodyText"/>
              <w:spacing w:after="0" w:line="276" w:lineRule="auto"/>
              <w:jc w:val="center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2E4558CA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acetaminophen and NSAID administration; Moderate quality for intraoperative and postoperative ketamine administration;</w:t>
            </w:r>
          </w:p>
          <w:p w14:paraId="356BF727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Moderate 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quality for intraoperative intrathecal morphine administration;</w:t>
            </w:r>
          </w:p>
          <w:p w14:paraId="09F56EBC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Very low quality for perioperative methadone administration;</w:t>
            </w:r>
          </w:p>
          <w:p w14:paraId="27A5D46D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Very low quality alpha-2 receptor agonists;</w:t>
            </w:r>
          </w:p>
          <w:p w14:paraId="1FD320EF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quality for intravenous intraoperative lignocaine infusion;</w:t>
            </w:r>
          </w:p>
          <w:p w14:paraId="01A3214F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multimodal analgesic regimens;</w:t>
            </w:r>
          </w:p>
        </w:tc>
      </w:tr>
      <w:tr w:rsidR="007605FE" w:rsidRPr="005448FF" w14:paraId="45E57680" w14:textId="77777777" w:rsidTr="00FB3595">
        <w:trPr>
          <w:trHeight w:val="421"/>
        </w:trPr>
        <w:tc>
          <w:tcPr>
            <w:tcW w:w="4765" w:type="dxa"/>
          </w:tcPr>
          <w:p w14:paraId="6C2B5AB4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17. Thromboprophylaxis</w:t>
            </w:r>
          </w:p>
          <w:p w14:paraId="56439C75" w14:textId="77777777" w:rsidR="007605FE" w:rsidRPr="005448FF" w:rsidRDefault="007605FE" w:rsidP="00FB3595">
            <w:pPr>
              <w:pStyle w:val="BodyText"/>
              <w:spacing w:after="0" w:line="276" w:lineRule="auto"/>
              <w:jc w:val="center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AD61216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</w:t>
            </w:r>
            <w:r w:rsidRPr="005448FF"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postoperative mechanical thromboprophylaxis;</w:t>
            </w:r>
          </w:p>
          <w:p w14:paraId="0180D12E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for</w:t>
            </w:r>
            <w:r w:rsidRPr="005448FF">
              <w:rPr>
                <w:rFonts w:ascii="Baskerville" w:hAnsi="Baskerville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postoperative chemical thromboprophylaxis;</w:t>
            </w:r>
          </w:p>
        </w:tc>
      </w:tr>
      <w:tr w:rsidR="007605FE" w:rsidRPr="005448FF" w14:paraId="0590BA03" w14:textId="77777777" w:rsidTr="00FB3595">
        <w:trPr>
          <w:trHeight w:val="515"/>
        </w:trPr>
        <w:tc>
          <w:tcPr>
            <w:tcW w:w="4765" w:type="dxa"/>
          </w:tcPr>
          <w:p w14:paraId="0EFFED76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18. Urinary drainage</w:t>
            </w:r>
          </w:p>
        </w:tc>
        <w:tc>
          <w:tcPr>
            <w:tcW w:w="6750" w:type="dxa"/>
          </w:tcPr>
          <w:p w14:paraId="0B458875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urinary catheter removal within 48 hours after surgery;</w:t>
            </w:r>
          </w:p>
        </w:tc>
      </w:tr>
      <w:tr w:rsidR="007605FE" w:rsidRPr="005448FF" w14:paraId="11BAEEDF" w14:textId="77777777" w:rsidTr="00FB3595">
        <w:trPr>
          <w:trHeight w:val="1012"/>
        </w:trPr>
        <w:tc>
          <w:tcPr>
            <w:tcW w:w="4765" w:type="dxa"/>
          </w:tcPr>
          <w:p w14:paraId="1C3CBFD6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19. Post-operative nutrition and fluid management</w:t>
            </w:r>
          </w:p>
        </w:tc>
        <w:tc>
          <w:tcPr>
            <w:tcW w:w="6750" w:type="dxa"/>
          </w:tcPr>
          <w:p w14:paraId="619837CD" w14:textId="77777777" w:rsidR="007605FE" w:rsidRPr="005448FF" w:rsidRDefault="007605FE" w:rsidP="00FB3595">
            <w:pPr>
              <w:pStyle w:val="BodyText"/>
              <w:tabs>
                <w:tab w:val="left" w:pos="2610"/>
              </w:tabs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Moderate quality for early transition to oral intake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  <w:p w14:paraId="27A1A31E" w14:textId="77777777" w:rsidR="007605FE" w:rsidRPr="005448FF" w:rsidRDefault="007605FE" w:rsidP="00FB3595">
            <w:pPr>
              <w:pStyle w:val="BodyText"/>
              <w:tabs>
                <w:tab w:val="left" w:pos="2610"/>
              </w:tabs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for goal-directed fluid management;</w:t>
            </w:r>
          </w:p>
          <w:p w14:paraId="7EFB8219" w14:textId="77777777" w:rsidR="007605FE" w:rsidRPr="005448FF" w:rsidRDefault="007605FE" w:rsidP="00FB3595">
            <w:pPr>
              <w:pStyle w:val="BodyText"/>
              <w:tabs>
                <w:tab w:val="left" w:pos="2610"/>
              </w:tabs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 for goal-orientated post-operative fluid management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</w:tc>
      </w:tr>
      <w:tr w:rsidR="007605FE" w:rsidRPr="005448FF" w14:paraId="5A5095D7" w14:textId="77777777" w:rsidTr="00FB3595">
        <w:trPr>
          <w:trHeight w:val="533"/>
        </w:trPr>
        <w:tc>
          <w:tcPr>
            <w:tcW w:w="4765" w:type="dxa"/>
          </w:tcPr>
          <w:p w14:paraId="4B6AA92B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20. Post-operative glycemic control</w:t>
            </w:r>
          </w:p>
        </w:tc>
        <w:tc>
          <w:tcPr>
            <w:tcW w:w="6750" w:type="dxa"/>
          </w:tcPr>
          <w:p w14:paraId="55E8AD63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for conventional blood glucose control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</w:tc>
      </w:tr>
      <w:tr w:rsidR="007605FE" w:rsidRPr="005448FF" w14:paraId="15314316" w14:textId="77777777" w:rsidTr="00FB3595">
        <w:tc>
          <w:tcPr>
            <w:tcW w:w="4765" w:type="dxa"/>
          </w:tcPr>
          <w:p w14:paraId="60914201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21. Early mobilization</w:t>
            </w:r>
          </w:p>
          <w:p w14:paraId="3F9E0597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</w:p>
        </w:tc>
        <w:tc>
          <w:tcPr>
            <w:tcW w:w="6750" w:type="dxa"/>
          </w:tcPr>
          <w:p w14:paraId="2C495AE8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>Low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quality</w:t>
            </w:r>
            <w:r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due to observational structure of available studies</w:t>
            </w: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;</w:t>
            </w:r>
          </w:p>
        </w:tc>
      </w:tr>
      <w:tr w:rsidR="007605FE" w:rsidRPr="005448FF" w14:paraId="066A80EE" w14:textId="77777777" w:rsidTr="00FB3595">
        <w:trPr>
          <w:trHeight w:val="346"/>
        </w:trPr>
        <w:tc>
          <w:tcPr>
            <w:tcW w:w="4765" w:type="dxa"/>
          </w:tcPr>
          <w:p w14:paraId="1DE75D70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 xml:space="preserve"> 22.Audit</w:t>
            </w:r>
          </w:p>
        </w:tc>
        <w:tc>
          <w:tcPr>
            <w:tcW w:w="6750" w:type="dxa"/>
          </w:tcPr>
          <w:p w14:paraId="4FF85F3D" w14:textId="77777777" w:rsidR="007605FE" w:rsidRPr="005448FF" w:rsidRDefault="007605FE" w:rsidP="00FB3595">
            <w:pPr>
              <w:pStyle w:val="BodyText"/>
              <w:spacing w:after="0" w:line="276" w:lineRule="auto"/>
              <w:rPr>
                <w:rFonts w:ascii="Baskerville" w:hAnsi="Baskerville"/>
                <w:color w:val="000000" w:themeColor="text1"/>
                <w:sz w:val="24"/>
                <w:szCs w:val="24"/>
              </w:rPr>
            </w:pPr>
            <w:r w:rsidRPr="005448FF">
              <w:rPr>
                <w:rFonts w:ascii="Baskerville" w:hAnsi="Baskerville"/>
                <w:color w:val="000000" w:themeColor="text1"/>
                <w:sz w:val="24"/>
                <w:szCs w:val="24"/>
              </w:rPr>
              <w:t>Low quality;</w:t>
            </w:r>
          </w:p>
        </w:tc>
      </w:tr>
    </w:tbl>
    <w:p w14:paraId="3EE0CECD" w14:textId="77777777" w:rsidR="007605FE" w:rsidRPr="005448FF" w:rsidRDefault="007605FE" w:rsidP="007605FE">
      <w:pPr>
        <w:pStyle w:val="BodyText"/>
        <w:spacing w:after="0" w:line="276" w:lineRule="auto"/>
        <w:rPr>
          <w:rFonts w:ascii="Baskerville" w:hAnsi="Baskerville"/>
          <w:i/>
          <w:color w:val="000000" w:themeColor="text1"/>
          <w:sz w:val="24"/>
          <w:szCs w:val="24"/>
        </w:rPr>
      </w:pPr>
    </w:p>
    <w:p w14:paraId="0950F343" w14:textId="77777777" w:rsidR="00570999" w:rsidRDefault="00AA6E28"/>
    <w:sectPr w:rsidR="00570999" w:rsidSect="007605FE">
      <w:pgSz w:w="12240" w:h="15840"/>
      <w:pgMar w:top="720" w:right="720" w:bottom="115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FE"/>
    <w:rsid w:val="00000F9D"/>
    <w:rsid w:val="00042DDC"/>
    <w:rsid w:val="00113292"/>
    <w:rsid w:val="00116321"/>
    <w:rsid w:val="00131DB1"/>
    <w:rsid w:val="00135562"/>
    <w:rsid w:val="00165F72"/>
    <w:rsid w:val="001C040D"/>
    <w:rsid w:val="002912A2"/>
    <w:rsid w:val="00293A9B"/>
    <w:rsid w:val="0029405B"/>
    <w:rsid w:val="002A7A59"/>
    <w:rsid w:val="003C07C9"/>
    <w:rsid w:val="003E39A1"/>
    <w:rsid w:val="003F7ED7"/>
    <w:rsid w:val="00405D56"/>
    <w:rsid w:val="00437940"/>
    <w:rsid w:val="00455EB6"/>
    <w:rsid w:val="00461C78"/>
    <w:rsid w:val="004C2092"/>
    <w:rsid w:val="004D1E77"/>
    <w:rsid w:val="004E6885"/>
    <w:rsid w:val="00513A07"/>
    <w:rsid w:val="005A32C2"/>
    <w:rsid w:val="00604C6B"/>
    <w:rsid w:val="00623939"/>
    <w:rsid w:val="006419BF"/>
    <w:rsid w:val="00695AF2"/>
    <w:rsid w:val="006B149F"/>
    <w:rsid w:val="006D3317"/>
    <w:rsid w:val="006F59F3"/>
    <w:rsid w:val="007228EB"/>
    <w:rsid w:val="007605FE"/>
    <w:rsid w:val="007800B6"/>
    <w:rsid w:val="007D3329"/>
    <w:rsid w:val="00873473"/>
    <w:rsid w:val="008967E7"/>
    <w:rsid w:val="008C298A"/>
    <w:rsid w:val="008C7BC9"/>
    <w:rsid w:val="008D73AF"/>
    <w:rsid w:val="008F7262"/>
    <w:rsid w:val="00922483"/>
    <w:rsid w:val="00935243"/>
    <w:rsid w:val="00944FFE"/>
    <w:rsid w:val="00961D35"/>
    <w:rsid w:val="00981F5A"/>
    <w:rsid w:val="0098211A"/>
    <w:rsid w:val="00A12C3E"/>
    <w:rsid w:val="00A2650C"/>
    <w:rsid w:val="00A53140"/>
    <w:rsid w:val="00A6603B"/>
    <w:rsid w:val="00A70E49"/>
    <w:rsid w:val="00AA6E28"/>
    <w:rsid w:val="00AD251C"/>
    <w:rsid w:val="00BF341A"/>
    <w:rsid w:val="00BF4340"/>
    <w:rsid w:val="00C55D8F"/>
    <w:rsid w:val="00CB765D"/>
    <w:rsid w:val="00CD56A6"/>
    <w:rsid w:val="00CF2884"/>
    <w:rsid w:val="00D77F73"/>
    <w:rsid w:val="00DB2763"/>
    <w:rsid w:val="00DF30E0"/>
    <w:rsid w:val="00E13D66"/>
    <w:rsid w:val="00E71396"/>
    <w:rsid w:val="00E804C7"/>
    <w:rsid w:val="00EA0133"/>
    <w:rsid w:val="00ED2409"/>
    <w:rsid w:val="00EF73A6"/>
    <w:rsid w:val="00F12E46"/>
    <w:rsid w:val="00F27F38"/>
    <w:rsid w:val="00F64AB5"/>
    <w:rsid w:val="00FD60DE"/>
    <w:rsid w:val="00FD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332EEF"/>
  <w14:defaultImageDpi w14:val="32767"/>
  <w15:chartTrackingRefBased/>
  <w15:docId w15:val="{762C83B3-EEE4-254F-8E38-2FF75771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7605FE"/>
    <w:pPr>
      <w:spacing w:line="300" w:lineRule="auto"/>
    </w:pPr>
    <w:rPr>
      <w:rFonts w:eastAsiaTheme="minorEastAsia"/>
      <w:color w:val="404040" w:themeColor="text1" w:themeTint="BF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605FE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7605FE"/>
    <w:rPr>
      <w:rFonts w:eastAsiaTheme="minorEastAsia"/>
      <w:color w:val="404040" w:themeColor="text1" w:themeTint="BF"/>
      <w:sz w:val="20"/>
      <w:szCs w:val="22"/>
    </w:rPr>
  </w:style>
  <w:style w:type="table" w:styleId="TableGrid">
    <w:name w:val="Table Grid"/>
    <w:basedOn w:val="TableNormal"/>
    <w:uiPriority w:val="59"/>
    <w:rsid w:val="007605FE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licina</dc:creator>
  <cp:keywords/>
  <dc:description/>
  <cp:lastModifiedBy>ana licina</cp:lastModifiedBy>
  <cp:revision>2</cp:revision>
  <dcterms:created xsi:type="dcterms:W3CDTF">2020-12-06T05:28:00Z</dcterms:created>
  <dcterms:modified xsi:type="dcterms:W3CDTF">2020-12-06T05:28:00Z</dcterms:modified>
</cp:coreProperties>
</file>