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546A" w14:textId="3FF347E3" w:rsidR="00031E5C" w:rsidRDefault="00031E5C" w:rsidP="00A97FEF">
      <w:pPr>
        <w:adjustRightInd w:val="0"/>
        <w:snapToGrid w:val="0"/>
        <w:spacing w:before="240" w:after="120" w:line="260" w:lineRule="atLeast"/>
        <w:ind w:right="425"/>
        <w:rPr>
          <w:rFonts w:asciiTheme="majorBidi" w:eastAsia="Times New Roman" w:hAnsiTheme="majorBidi" w:cstheme="majorBidi"/>
          <w:b/>
          <w:color w:val="000000"/>
          <w:sz w:val="20"/>
          <w:szCs w:val="20"/>
          <w:lang w:eastAsia="de-DE" w:bidi="en-US"/>
        </w:rPr>
      </w:pPr>
      <w:r>
        <w:rPr>
          <w:rFonts w:asciiTheme="majorBidi" w:eastAsia="Times New Roman" w:hAnsiTheme="majorBidi" w:cstheme="majorBidi"/>
          <w:b/>
          <w:color w:val="000000"/>
          <w:sz w:val="20"/>
          <w:szCs w:val="20"/>
          <w:lang w:eastAsia="de-DE" w:bidi="en-US"/>
        </w:rPr>
        <w:t>“</w:t>
      </w:r>
      <w:r w:rsidRPr="00031E5C">
        <w:rPr>
          <w:rFonts w:asciiTheme="majorBidi" w:eastAsia="Times New Roman" w:hAnsiTheme="majorBidi" w:cstheme="majorBidi"/>
          <w:b/>
          <w:color w:val="000000"/>
          <w:sz w:val="20"/>
          <w:szCs w:val="20"/>
          <w:lang w:eastAsia="de-DE" w:bidi="en-US"/>
        </w:rPr>
        <w:t>Screening for Subjective Cognitive Decline in the Elderly via Subjective Cognitive Complaints and Informant-Reported Questionnaires: A Systematic Review</w:t>
      </w:r>
      <w:r>
        <w:rPr>
          <w:rFonts w:asciiTheme="majorBidi" w:eastAsia="Times New Roman" w:hAnsiTheme="majorBidi" w:cstheme="majorBidi"/>
          <w:b/>
          <w:color w:val="000000"/>
          <w:sz w:val="20"/>
          <w:szCs w:val="20"/>
          <w:lang w:eastAsia="de-DE" w:bidi="en-US"/>
        </w:rPr>
        <w:t>”</w:t>
      </w:r>
    </w:p>
    <w:p w14:paraId="0F8E630C" w14:textId="72D674AF" w:rsidR="002F61E5" w:rsidRPr="00853F48" w:rsidRDefault="00676BA7" w:rsidP="00A97FEF">
      <w:pPr>
        <w:adjustRightInd w:val="0"/>
        <w:snapToGrid w:val="0"/>
        <w:spacing w:before="240" w:after="120" w:line="260" w:lineRule="atLeast"/>
        <w:ind w:right="425"/>
        <w:rPr>
          <w:rFonts w:asciiTheme="majorBidi" w:eastAsia="Times New Roman" w:hAnsiTheme="majorBidi" w:cstheme="majorBidi"/>
          <w:color w:val="000000"/>
          <w:sz w:val="20"/>
          <w:szCs w:val="20"/>
          <w:lang w:eastAsia="de-DE" w:bidi="en-US"/>
        </w:rPr>
      </w:pPr>
      <w:r w:rsidRPr="009D2F80">
        <w:rPr>
          <w:rFonts w:asciiTheme="majorBidi" w:eastAsia="Times New Roman" w:hAnsiTheme="majorBidi" w:cstheme="majorBidi"/>
          <w:b/>
          <w:color w:val="000000"/>
          <w:sz w:val="20"/>
          <w:szCs w:val="20"/>
          <w:lang w:eastAsia="de-DE" w:bidi="en-US"/>
        </w:rPr>
        <w:t>S-</w:t>
      </w:r>
      <w:r w:rsidR="002F61E5" w:rsidRPr="009D2F80">
        <w:rPr>
          <w:rFonts w:asciiTheme="majorBidi" w:eastAsia="Times New Roman" w:hAnsiTheme="majorBidi" w:cstheme="majorBidi"/>
          <w:b/>
          <w:color w:val="000000"/>
          <w:sz w:val="20"/>
          <w:szCs w:val="20"/>
          <w:lang w:eastAsia="de-DE" w:bidi="en-US"/>
        </w:rPr>
        <w:t xml:space="preserve">Table </w:t>
      </w:r>
      <w:r w:rsidR="00D03E0C" w:rsidRPr="009D2F80">
        <w:rPr>
          <w:rFonts w:asciiTheme="majorBidi" w:eastAsia="Times New Roman" w:hAnsiTheme="majorBidi" w:cstheme="majorBidi"/>
          <w:b/>
          <w:color w:val="000000"/>
          <w:sz w:val="20"/>
          <w:szCs w:val="20"/>
          <w:lang w:eastAsia="de-DE" w:bidi="en-US"/>
        </w:rPr>
        <w:t>3</w:t>
      </w:r>
      <w:r w:rsidR="002F61E5" w:rsidRPr="009D2F80">
        <w:rPr>
          <w:rFonts w:asciiTheme="majorBidi" w:eastAsia="Times New Roman" w:hAnsiTheme="majorBidi" w:cstheme="majorBidi"/>
          <w:b/>
          <w:color w:val="000000"/>
          <w:sz w:val="20"/>
          <w:szCs w:val="20"/>
          <w:lang w:eastAsia="de-DE" w:bidi="en-US"/>
        </w:rPr>
        <w:t xml:space="preserve">. </w:t>
      </w:r>
      <w:r w:rsidR="002F61E5" w:rsidRPr="00853F48">
        <w:rPr>
          <w:rFonts w:asciiTheme="majorBidi" w:eastAsia="Times New Roman" w:hAnsiTheme="majorBidi" w:cstheme="majorBidi"/>
          <w:b/>
          <w:bCs/>
          <w:color w:val="000000"/>
          <w:sz w:val="20"/>
          <w:szCs w:val="20"/>
          <w:lang w:eastAsia="de-DE" w:bidi="en-US"/>
        </w:rPr>
        <w:t>Characteristics of Subjective Cognitive Complaint Questionnaire</w:t>
      </w:r>
    </w:p>
    <w:tbl>
      <w:tblPr>
        <w:tblStyle w:val="GridTable2"/>
        <w:tblW w:w="10343" w:type="dxa"/>
        <w:tblLook w:val="04A0" w:firstRow="1" w:lastRow="0" w:firstColumn="1" w:lastColumn="0" w:noHBand="0" w:noVBand="1"/>
      </w:tblPr>
      <w:tblGrid>
        <w:gridCol w:w="1326"/>
        <w:gridCol w:w="908"/>
        <w:gridCol w:w="824"/>
        <w:gridCol w:w="2192"/>
        <w:gridCol w:w="1572"/>
        <w:gridCol w:w="2356"/>
        <w:gridCol w:w="1165"/>
      </w:tblGrid>
      <w:tr w:rsidR="002F61E5" w:rsidRPr="004855E7" w14:paraId="774DB578" w14:textId="77777777" w:rsidTr="00E727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7A702A"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Study (author, year)</w:t>
            </w:r>
          </w:p>
        </w:tc>
        <w:tc>
          <w:tcPr>
            <w:tcW w:w="0" w:type="auto"/>
            <w:gridSpan w:val="2"/>
          </w:tcPr>
          <w:p w14:paraId="482DECED" w14:textId="77777777" w:rsidR="002F61E5" w:rsidRPr="00853F48" w:rsidRDefault="002F61E5" w:rsidP="002F61E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Assessment Tool (# of questions) </w:t>
            </w:r>
          </w:p>
        </w:tc>
        <w:tc>
          <w:tcPr>
            <w:tcW w:w="0" w:type="auto"/>
          </w:tcPr>
          <w:p w14:paraId="24E708A1" w14:textId="77777777" w:rsidR="002F61E5" w:rsidRPr="00853F48" w:rsidRDefault="002F61E5" w:rsidP="002F61E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Cognitive Measures Assessment Tool</w:t>
            </w:r>
          </w:p>
        </w:tc>
        <w:tc>
          <w:tcPr>
            <w:tcW w:w="0" w:type="auto"/>
          </w:tcPr>
          <w:p w14:paraId="4E42DBBC" w14:textId="77777777" w:rsidR="002F61E5" w:rsidRPr="00853F48" w:rsidRDefault="002F61E5" w:rsidP="002F61E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Questions with Positive Association to Cognitive Measures </w:t>
            </w:r>
          </w:p>
        </w:tc>
        <w:tc>
          <w:tcPr>
            <w:tcW w:w="0" w:type="auto"/>
          </w:tcPr>
          <w:p w14:paraId="75F48D91" w14:textId="77777777" w:rsidR="002F61E5" w:rsidRPr="00853F48" w:rsidRDefault="002F61E5" w:rsidP="002F61E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Prevalence of Complaints (%)</w:t>
            </w:r>
          </w:p>
        </w:tc>
        <w:tc>
          <w:tcPr>
            <w:tcW w:w="0" w:type="auto"/>
          </w:tcPr>
          <w:p w14:paraId="41E7DE73" w14:textId="77777777" w:rsidR="002F61E5" w:rsidRPr="00853F48" w:rsidRDefault="002F61E5" w:rsidP="002F61E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Overall Validation  (Yes/No)</w:t>
            </w:r>
          </w:p>
        </w:tc>
      </w:tr>
      <w:tr w:rsidR="002F61E5" w:rsidRPr="004855E7" w14:paraId="620DA522"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7B37B8AC"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p>
        </w:tc>
        <w:tc>
          <w:tcPr>
            <w:tcW w:w="0" w:type="auto"/>
            <w:gridSpan w:val="5"/>
          </w:tcPr>
          <w:p w14:paraId="23B496E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Cognitive Complaint Questions</w:t>
            </w:r>
          </w:p>
        </w:tc>
      </w:tr>
      <w:tr w:rsidR="002F61E5" w:rsidRPr="004855E7" w14:paraId="174FCCF4"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4084F04E"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themeColor="text1"/>
                <w:sz w:val="20"/>
                <w:szCs w:val="20"/>
                <w:lang w:val="en-US" w:eastAsia="de-DE"/>
              </w:rPr>
            </w:pPr>
            <w:r w:rsidRPr="00853F48">
              <w:rPr>
                <w:rFonts w:ascii="Times New Roman" w:eastAsia="Times New Roman" w:hAnsi="Times New Roman" w:cs="Times New Roman"/>
                <w:color w:val="000000" w:themeColor="text1"/>
                <w:sz w:val="20"/>
                <w:szCs w:val="20"/>
                <w:lang w:val="en-US" w:eastAsia="de-DE"/>
              </w:rPr>
              <w:t>Bosnes, 2020</w:t>
            </w:r>
          </w:p>
        </w:tc>
        <w:tc>
          <w:tcPr>
            <w:tcW w:w="0" w:type="auto"/>
            <w:gridSpan w:val="2"/>
          </w:tcPr>
          <w:p w14:paraId="4703A9D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Meta-Memory Questionnaire (MMQ) (9) </w:t>
            </w:r>
          </w:p>
        </w:tc>
        <w:tc>
          <w:tcPr>
            <w:tcW w:w="0" w:type="auto"/>
          </w:tcPr>
          <w:p w14:paraId="72977E3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WMS-III, WAIS-III, and their subsets</w:t>
            </w:r>
          </w:p>
        </w:tc>
        <w:tc>
          <w:tcPr>
            <w:tcW w:w="0" w:type="auto"/>
          </w:tcPr>
          <w:p w14:paraId="38D1C70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62CDBA5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0972E1D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2D0561BB"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76752B"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themeColor="text1"/>
                <w:sz w:val="20"/>
                <w:szCs w:val="20"/>
                <w:lang w:val="en-US" w:eastAsia="de-DE"/>
              </w:rPr>
            </w:pPr>
            <w:r w:rsidRPr="00853F48">
              <w:rPr>
                <w:rFonts w:ascii="Times New Roman" w:eastAsia="Times New Roman" w:hAnsi="Times New Roman" w:cs="Times New Roman"/>
                <w:color w:val="000000" w:themeColor="text1"/>
                <w:sz w:val="20"/>
                <w:szCs w:val="20"/>
                <w:lang w:val="en-US" w:eastAsia="de-DE"/>
              </w:rPr>
              <w:t>Hess, 2020</w:t>
            </w:r>
          </w:p>
        </w:tc>
        <w:tc>
          <w:tcPr>
            <w:tcW w:w="0" w:type="auto"/>
            <w:gridSpan w:val="2"/>
          </w:tcPr>
          <w:p w14:paraId="3A79EC3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Assessment (2)</w:t>
            </w:r>
          </w:p>
        </w:tc>
        <w:tc>
          <w:tcPr>
            <w:tcW w:w="0" w:type="auto"/>
          </w:tcPr>
          <w:p w14:paraId="726865C7"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Brief computerized cognitive test; MoCA</w:t>
            </w:r>
          </w:p>
        </w:tc>
        <w:tc>
          <w:tcPr>
            <w:tcW w:w="0" w:type="auto"/>
          </w:tcPr>
          <w:p w14:paraId="2A157509"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1437A9EC"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67E796F"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r>
      <w:tr w:rsidR="002F61E5" w:rsidRPr="004855E7" w14:paraId="21B145B2"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42830492"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themeColor="text1"/>
                <w:sz w:val="20"/>
                <w:szCs w:val="20"/>
                <w:lang w:val="en-US" w:eastAsia="de-DE"/>
              </w:rPr>
            </w:pPr>
            <w:r w:rsidRPr="00853F48">
              <w:rPr>
                <w:rFonts w:ascii="Times New Roman" w:eastAsia="Times New Roman" w:hAnsi="Times New Roman" w:cs="Times New Roman"/>
                <w:color w:val="000000" w:themeColor="text1"/>
                <w:sz w:val="20"/>
                <w:szCs w:val="20"/>
                <w:lang w:val="en-US" w:eastAsia="de-DE"/>
              </w:rPr>
              <w:t>Guerdoux-Ninot, 2019</w:t>
            </w:r>
          </w:p>
        </w:tc>
        <w:tc>
          <w:tcPr>
            <w:tcW w:w="0" w:type="auto"/>
            <w:gridSpan w:val="2"/>
          </w:tcPr>
          <w:p w14:paraId="37533360"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Prospective and Retrospective Memory Questionnaire (PRMQ) (16)</w:t>
            </w:r>
          </w:p>
        </w:tc>
        <w:tc>
          <w:tcPr>
            <w:tcW w:w="0" w:type="auto"/>
          </w:tcPr>
          <w:p w14:paraId="0DE6B7A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672049F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5CC2BA2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56C9588"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4E05DDB8"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CB757D"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themeColor="text1"/>
                <w:sz w:val="20"/>
                <w:szCs w:val="20"/>
                <w:lang w:val="en-US" w:eastAsia="de-DE"/>
              </w:rPr>
            </w:pPr>
            <w:r w:rsidRPr="00853F48">
              <w:rPr>
                <w:rFonts w:ascii="Times New Roman" w:eastAsia="Times New Roman" w:hAnsi="Times New Roman" w:cs="Times New Roman"/>
                <w:color w:val="000000" w:themeColor="text1"/>
                <w:sz w:val="20"/>
                <w:szCs w:val="20"/>
                <w:lang w:val="en-US" w:eastAsia="de-DE"/>
              </w:rPr>
              <w:t>Howland, 2017</w:t>
            </w:r>
          </w:p>
        </w:tc>
        <w:tc>
          <w:tcPr>
            <w:tcW w:w="0" w:type="auto"/>
            <w:gridSpan w:val="2"/>
          </w:tcPr>
          <w:p w14:paraId="2066FC4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PROMIS Applied Cognitive Items (16)</w:t>
            </w:r>
          </w:p>
        </w:tc>
        <w:tc>
          <w:tcPr>
            <w:tcW w:w="0" w:type="auto"/>
          </w:tcPr>
          <w:p w14:paraId="29E7F3CD"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MMSE; SLUMS</w:t>
            </w:r>
          </w:p>
        </w:tc>
        <w:tc>
          <w:tcPr>
            <w:tcW w:w="0" w:type="auto"/>
          </w:tcPr>
          <w:p w14:paraId="4280BD1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5FE1F47D"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7A6D4BE7"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No</w:t>
            </w:r>
          </w:p>
        </w:tc>
      </w:tr>
      <w:tr w:rsidR="002F61E5" w:rsidRPr="004855E7" w14:paraId="4E435D04"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5217BEF9"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themeColor="text1"/>
                <w:sz w:val="20"/>
                <w:szCs w:val="20"/>
                <w:lang w:val="en-US" w:eastAsia="de-DE"/>
              </w:rPr>
            </w:pPr>
            <w:r w:rsidRPr="00853F48">
              <w:rPr>
                <w:rFonts w:ascii="Times New Roman" w:eastAsia="Times New Roman" w:hAnsi="Times New Roman" w:cs="Times New Roman"/>
                <w:color w:val="000000" w:themeColor="text1"/>
                <w:sz w:val="20"/>
                <w:szCs w:val="20"/>
                <w:lang w:val="en-US" w:eastAsia="de-DE"/>
              </w:rPr>
              <w:t>Markova, 2017</w:t>
            </w:r>
          </w:p>
        </w:tc>
        <w:tc>
          <w:tcPr>
            <w:tcW w:w="0" w:type="auto"/>
            <w:gridSpan w:val="2"/>
          </w:tcPr>
          <w:p w14:paraId="74063C3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Czech-translated version of Le Questionnaire de Plainte Cognitive (QPC) (10)</w:t>
            </w:r>
          </w:p>
        </w:tc>
        <w:tc>
          <w:tcPr>
            <w:tcW w:w="0" w:type="auto"/>
          </w:tcPr>
          <w:p w14:paraId="2E40B0B8"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02C8593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Spatial orientation difficulties</w:t>
            </w:r>
          </w:p>
          <w:p w14:paraId="5B143D32"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327C7E4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Difficulties with recalling past events</w:t>
            </w:r>
          </w:p>
          <w:p w14:paraId="6D0670B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2B1E27E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Impression of worse memory in comparison to peers with lower memory performance</w:t>
            </w:r>
          </w:p>
          <w:p w14:paraId="3EED3DC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2E66EC7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Limitation in daily activities </w:t>
            </w:r>
          </w:p>
        </w:tc>
        <w:tc>
          <w:tcPr>
            <w:tcW w:w="0" w:type="auto"/>
          </w:tcPr>
          <w:p w14:paraId="3D8AFC9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Word finding difficulties (40)</w:t>
            </w:r>
          </w:p>
          <w:p w14:paraId="1808A810"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1F242FA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Difficulties with recalling past events (32)</w:t>
            </w:r>
          </w:p>
          <w:p w14:paraId="4A45CCB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2CBBCF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Impression of memory change (29)</w:t>
            </w:r>
          </w:p>
          <w:p w14:paraId="0D1DD8F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D19C8F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Losing things (7)</w:t>
            </w:r>
          </w:p>
          <w:p w14:paraId="713F4C8C"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2468862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Spatial orientation difficulties (4)</w:t>
            </w:r>
          </w:p>
        </w:tc>
        <w:tc>
          <w:tcPr>
            <w:tcW w:w="0" w:type="auto"/>
          </w:tcPr>
          <w:p w14:paraId="58EE6FC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723F9823"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544AFB"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Papaliagkas, 2017</w:t>
            </w:r>
          </w:p>
        </w:tc>
        <w:tc>
          <w:tcPr>
            <w:tcW w:w="0" w:type="auto"/>
            <w:gridSpan w:val="2"/>
          </w:tcPr>
          <w:p w14:paraId="01CD419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Cognitive Failures Questionnaire (CFQ) (25)</w:t>
            </w:r>
          </w:p>
          <w:p w14:paraId="3A59555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102B68D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Prospective and Retrospective Memory Questionnaire (PRMQ) (16)*</w:t>
            </w:r>
          </w:p>
        </w:tc>
        <w:tc>
          <w:tcPr>
            <w:tcW w:w="0" w:type="auto"/>
          </w:tcPr>
          <w:p w14:paraId="6C60B041"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54568C66"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1754F65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17BB79C"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093DD512"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0CBC66F6"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Avila-Villanueva, 2016</w:t>
            </w:r>
          </w:p>
        </w:tc>
        <w:tc>
          <w:tcPr>
            <w:tcW w:w="0" w:type="auto"/>
            <w:gridSpan w:val="2"/>
          </w:tcPr>
          <w:p w14:paraId="32C6A2B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Everyday Memory Questionnaire (28)</w:t>
            </w:r>
          </w:p>
          <w:p w14:paraId="095E0F6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8823EC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Everyday Memory Questionnaire (10)</w:t>
            </w:r>
          </w:p>
        </w:tc>
        <w:tc>
          <w:tcPr>
            <w:tcW w:w="0" w:type="auto"/>
          </w:tcPr>
          <w:p w14:paraId="37AF605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Neuropsychological battery of tests</w:t>
            </w:r>
          </w:p>
        </w:tc>
        <w:tc>
          <w:tcPr>
            <w:tcW w:w="0" w:type="auto"/>
          </w:tcPr>
          <w:p w14:paraId="5E10A43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Forgetfulness of immediate information (FII)</w:t>
            </w:r>
          </w:p>
          <w:p w14:paraId="3F793A1C"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28B7135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Executive functions (EF)</w:t>
            </w:r>
          </w:p>
          <w:p w14:paraId="126EFD2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6F197C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Prospective memory (PM)</w:t>
            </w:r>
          </w:p>
        </w:tc>
        <w:tc>
          <w:tcPr>
            <w:tcW w:w="0" w:type="auto"/>
          </w:tcPr>
          <w:p w14:paraId="3D57ACD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NR</w:t>
            </w:r>
          </w:p>
        </w:tc>
        <w:tc>
          <w:tcPr>
            <w:tcW w:w="0" w:type="auto"/>
          </w:tcPr>
          <w:p w14:paraId="678F8DB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No </w:t>
            </w:r>
          </w:p>
        </w:tc>
      </w:tr>
      <w:tr w:rsidR="002F61E5" w:rsidRPr="004855E7" w14:paraId="0A128E95"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23D09C"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Ramlall, 2013 </w:t>
            </w:r>
          </w:p>
        </w:tc>
        <w:tc>
          <w:tcPr>
            <w:tcW w:w="0" w:type="auto"/>
            <w:gridSpan w:val="2"/>
          </w:tcPr>
          <w:p w14:paraId="0D06A59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Complaint (SMC) (1)*</w:t>
            </w:r>
          </w:p>
          <w:p w14:paraId="530AB50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CCF58A2"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Complaint Clinical (SMCC) (7)</w:t>
            </w:r>
          </w:p>
          <w:p w14:paraId="1988143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147B97BC"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Rating Scale (SMRS) (5)*</w:t>
            </w:r>
          </w:p>
        </w:tc>
        <w:tc>
          <w:tcPr>
            <w:tcW w:w="0" w:type="auto"/>
          </w:tcPr>
          <w:p w14:paraId="6478CB6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092032E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u w:val="single"/>
                <w:lang w:val="en-US" w:eastAsia="de-DE"/>
              </w:rPr>
              <w:t>SMCC</w:t>
            </w:r>
            <w:r w:rsidRPr="00853F48">
              <w:rPr>
                <w:rFonts w:ascii="Times New Roman" w:eastAsia="Times New Roman" w:hAnsi="Times New Roman" w:cs="Times New Roman"/>
                <w:color w:val="000000"/>
                <w:sz w:val="20"/>
                <w:szCs w:val="20"/>
                <w:lang w:val="en-US" w:eastAsia="de-DE"/>
              </w:rPr>
              <w:t>:</w:t>
            </w:r>
          </w:p>
          <w:p w14:paraId="334D341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Difficulty remembering what happened in the last few days</w:t>
            </w:r>
          </w:p>
          <w:p w14:paraId="33D31E7C"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545384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Difficulty remembering the names of people you have known a long time</w:t>
            </w:r>
          </w:p>
        </w:tc>
        <w:tc>
          <w:tcPr>
            <w:tcW w:w="0" w:type="auto"/>
          </w:tcPr>
          <w:p w14:paraId="0B8C4B8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203AC7E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0F2B00E6"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04F49212"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Snitz, 2012 </w:t>
            </w:r>
          </w:p>
        </w:tc>
        <w:tc>
          <w:tcPr>
            <w:tcW w:w="0" w:type="auto"/>
            <w:gridSpan w:val="2"/>
          </w:tcPr>
          <w:p w14:paraId="359468E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Cognitive Complaint (SCC) (24)</w:t>
            </w:r>
          </w:p>
        </w:tc>
        <w:tc>
          <w:tcPr>
            <w:tcW w:w="0" w:type="auto"/>
          </w:tcPr>
          <w:p w14:paraId="1989076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38EE286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Highest α: handling a household emergency</w:t>
            </w:r>
          </w:p>
          <w:p w14:paraId="2390C86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Lowest α: remembering things from a long time ago</w:t>
            </w:r>
          </w:p>
        </w:tc>
        <w:tc>
          <w:tcPr>
            <w:tcW w:w="0" w:type="auto"/>
          </w:tcPr>
          <w:p w14:paraId="046571E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Remembering names of people you met only recently (33.4)</w:t>
            </w:r>
          </w:p>
          <w:p w14:paraId="42CFC49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37B5E9F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Remembering things better now compared to a year ago (30.2)</w:t>
            </w:r>
          </w:p>
          <w:p w14:paraId="58DD6E0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1D3502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Worse at getting along with people, talking or behaving the way you used to (1.0)</w:t>
            </w:r>
          </w:p>
        </w:tc>
        <w:tc>
          <w:tcPr>
            <w:tcW w:w="0" w:type="auto"/>
          </w:tcPr>
          <w:p w14:paraId="62B6857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No</w:t>
            </w:r>
          </w:p>
        </w:tc>
      </w:tr>
      <w:tr w:rsidR="002F61E5" w:rsidRPr="004855E7" w14:paraId="246D8FE7"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CE22C9"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Amariglio, 2011</w:t>
            </w:r>
          </w:p>
        </w:tc>
        <w:tc>
          <w:tcPr>
            <w:tcW w:w="0" w:type="auto"/>
            <w:gridSpan w:val="2"/>
          </w:tcPr>
          <w:p w14:paraId="221971CE"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Complaint (SMC) (7)</w:t>
            </w:r>
          </w:p>
        </w:tc>
        <w:tc>
          <w:tcPr>
            <w:tcW w:w="0" w:type="auto"/>
          </w:tcPr>
          <w:p w14:paraId="452FBE2F"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539FDC7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Change in memory</w:t>
            </w:r>
          </w:p>
          <w:p w14:paraId="36D91DA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252EBB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Recent events</w:t>
            </w:r>
          </w:p>
          <w:p w14:paraId="02292B0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0064DF86"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Understanding events</w:t>
            </w:r>
          </w:p>
          <w:p w14:paraId="38DFD6B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E3C524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Following a conversation</w:t>
            </w:r>
          </w:p>
          <w:p w14:paraId="6B2D8C1D"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D652D6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Getting lost</w:t>
            </w:r>
          </w:p>
        </w:tc>
        <w:tc>
          <w:tcPr>
            <w:tcW w:w="0" w:type="auto"/>
          </w:tcPr>
          <w:p w14:paraId="3D8B551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Change in memory (56.4)</w:t>
            </w:r>
          </w:p>
          <w:p w14:paraId="254BD4D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931A14F"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Remembering items on a short list (29.2)</w:t>
            </w:r>
          </w:p>
          <w:p w14:paraId="3006460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BB9CE8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Forgetting things from one second to the next (25.4)</w:t>
            </w:r>
          </w:p>
          <w:p w14:paraId="22347279"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1186199"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Recent events (18.5)</w:t>
            </w:r>
          </w:p>
          <w:p w14:paraId="2F651C06"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4F0EC2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Understanding instructions (8.6)</w:t>
            </w:r>
          </w:p>
          <w:p w14:paraId="39A10D3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285619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Following a conversation (5.8)</w:t>
            </w:r>
          </w:p>
          <w:p w14:paraId="01FD601C"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05CB0A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Getting lost (1.6)</w:t>
            </w:r>
          </w:p>
        </w:tc>
        <w:tc>
          <w:tcPr>
            <w:tcW w:w="0" w:type="auto"/>
          </w:tcPr>
          <w:p w14:paraId="2EF26731"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No</w:t>
            </w:r>
          </w:p>
        </w:tc>
      </w:tr>
      <w:tr w:rsidR="002F61E5" w:rsidRPr="004855E7" w14:paraId="59DCACD7"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1A36673D"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Calabria, 2010 </w:t>
            </w:r>
          </w:p>
        </w:tc>
        <w:tc>
          <w:tcPr>
            <w:tcW w:w="0" w:type="auto"/>
            <w:gridSpan w:val="2"/>
          </w:tcPr>
          <w:p w14:paraId="34234C3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Everyday Memory Questionnaire (28)</w:t>
            </w:r>
          </w:p>
          <w:p w14:paraId="4930285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78827DC"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Everyday Memory Questionnaire (20)</w:t>
            </w:r>
          </w:p>
        </w:tc>
        <w:tc>
          <w:tcPr>
            <w:tcW w:w="0" w:type="auto"/>
          </w:tcPr>
          <w:p w14:paraId="1D6DFAB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1F38FA0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Memory and learning factor</w:t>
            </w:r>
          </w:p>
          <w:p w14:paraId="67DBCDE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76780DE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Learning factor</w:t>
            </w:r>
          </w:p>
          <w:p w14:paraId="76BB67E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0E8F1B10"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Language factor</w:t>
            </w:r>
          </w:p>
          <w:p w14:paraId="230DE332"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6D1B95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Procedure and monitoring factor</w:t>
            </w:r>
          </w:p>
          <w:p w14:paraId="16C0706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FA5474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Space factor</w:t>
            </w:r>
          </w:p>
        </w:tc>
        <w:tc>
          <w:tcPr>
            <w:tcW w:w="0" w:type="auto"/>
          </w:tcPr>
          <w:p w14:paraId="32AB840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NR</w:t>
            </w:r>
          </w:p>
        </w:tc>
        <w:tc>
          <w:tcPr>
            <w:tcW w:w="0" w:type="auto"/>
          </w:tcPr>
          <w:p w14:paraId="78F493F2"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No </w:t>
            </w:r>
          </w:p>
        </w:tc>
      </w:tr>
      <w:tr w:rsidR="002F61E5" w:rsidRPr="004855E7" w14:paraId="2F5D1922"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DF8CC0"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Youn, 2009</w:t>
            </w:r>
          </w:p>
        </w:tc>
        <w:tc>
          <w:tcPr>
            <w:tcW w:w="0" w:type="auto"/>
            <w:gridSpan w:val="2"/>
          </w:tcPr>
          <w:p w14:paraId="782750A7"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Complaints Questionnaire (SMCQ) (14)</w:t>
            </w:r>
          </w:p>
        </w:tc>
        <w:tc>
          <w:tcPr>
            <w:tcW w:w="0" w:type="auto"/>
          </w:tcPr>
          <w:p w14:paraId="174E0BA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SIRQD for cross-validation; standardized Korean version of the CERAD (CERAD-K-N)</w:t>
            </w:r>
          </w:p>
        </w:tc>
        <w:tc>
          <w:tcPr>
            <w:tcW w:w="0" w:type="auto"/>
          </w:tcPr>
          <w:p w14:paraId="28212516"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u w:val="single"/>
                <w:lang w:val="en-US" w:eastAsia="de-DE"/>
              </w:rPr>
              <w:t>Highest correlation:</w:t>
            </w:r>
            <w:r w:rsidRPr="00853F48">
              <w:rPr>
                <w:rFonts w:ascii="Times New Roman" w:eastAsia="Times New Roman" w:hAnsi="Times New Roman" w:cs="Times New Roman"/>
                <w:color w:val="000000"/>
                <w:sz w:val="20"/>
                <w:szCs w:val="20"/>
                <w:lang w:val="en-US" w:eastAsia="de-DE"/>
              </w:rPr>
              <w:t xml:space="preserve"> perception of a memory problem, remembering a recent event</w:t>
            </w:r>
          </w:p>
          <w:p w14:paraId="1A9891A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A18E3F9"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u w:val="single"/>
                <w:lang w:val="en-US" w:eastAsia="de-DE"/>
              </w:rPr>
              <w:t>Lowest correlation:</w:t>
            </w:r>
            <w:r w:rsidRPr="00853F48">
              <w:rPr>
                <w:rFonts w:ascii="Times New Roman" w:eastAsia="Times New Roman" w:hAnsi="Times New Roman" w:cs="Times New Roman"/>
                <w:color w:val="000000"/>
                <w:sz w:val="20"/>
                <w:szCs w:val="20"/>
                <w:lang w:val="en-US" w:eastAsia="de-DE"/>
              </w:rPr>
              <w:t xml:space="preserve"> getting lost near home </w:t>
            </w:r>
          </w:p>
        </w:tc>
        <w:tc>
          <w:tcPr>
            <w:tcW w:w="0" w:type="auto"/>
          </w:tcPr>
          <w:p w14:paraId="57EEB0A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7AFBF7C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7DDE10D7"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2199FBCE"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Snitz, 2008</w:t>
            </w:r>
          </w:p>
        </w:tc>
        <w:tc>
          <w:tcPr>
            <w:tcW w:w="0" w:type="auto"/>
            <w:gridSpan w:val="2"/>
          </w:tcPr>
          <w:p w14:paraId="2B5DC822"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Assessment (16)</w:t>
            </w:r>
          </w:p>
        </w:tc>
        <w:tc>
          <w:tcPr>
            <w:tcW w:w="0" w:type="auto"/>
          </w:tcPr>
          <w:p w14:paraId="47D37FF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17E108B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u w:val="single"/>
                <w:lang w:val="en-US" w:eastAsia="de-DE"/>
              </w:rPr>
              <w:t>Highest association:</w:t>
            </w:r>
            <w:r w:rsidRPr="00853F48">
              <w:rPr>
                <w:rFonts w:ascii="Times New Roman" w:eastAsia="Times New Roman" w:hAnsi="Times New Roman" w:cs="Times New Roman"/>
                <w:color w:val="000000"/>
                <w:sz w:val="20"/>
                <w:szCs w:val="20"/>
                <w:lang w:val="en-US" w:eastAsia="de-DE"/>
              </w:rPr>
              <w:t xml:space="preserve"> remembering things that happened or were said a few days ago</w:t>
            </w:r>
          </w:p>
          <w:p w14:paraId="2F19049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DD2DF9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u w:val="single"/>
                <w:lang w:val="en-US" w:eastAsia="de-DE"/>
              </w:rPr>
              <w:t>Lowest association:</w:t>
            </w:r>
            <w:r w:rsidRPr="00853F48">
              <w:rPr>
                <w:rFonts w:ascii="Times New Roman" w:eastAsia="Times New Roman" w:hAnsi="Times New Roman" w:cs="Times New Roman"/>
                <w:color w:val="000000"/>
                <w:sz w:val="20"/>
                <w:szCs w:val="20"/>
                <w:lang w:val="en-US" w:eastAsia="de-DE"/>
              </w:rPr>
              <w:t xml:space="preserve"> finding the right word to describe something </w:t>
            </w:r>
          </w:p>
        </w:tc>
        <w:tc>
          <w:tcPr>
            <w:tcW w:w="0" w:type="auto"/>
          </w:tcPr>
          <w:p w14:paraId="4DD8748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Finding the right word to use to describe something you know well (36.6)</w:t>
            </w:r>
          </w:p>
        </w:tc>
        <w:tc>
          <w:tcPr>
            <w:tcW w:w="0" w:type="auto"/>
          </w:tcPr>
          <w:p w14:paraId="03FC373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Yes </w:t>
            </w:r>
          </w:p>
        </w:tc>
      </w:tr>
      <w:tr w:rsidR="002F61E5" w:rsidRPr="004855E7" w14:paraId="19E6F0BA"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8F13B"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Lam, 2005 </w:t>
            </w:r>
          </w:p>
        </w:tc>
        <w:tc>
          <w:tcPr>
            <w:tcW w:w="0" w:type="auto"/>
            <w:gridSpan w:val="2"/>
          </w:tcPr>
          <w:p w14:paraId="628B3847"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Abbreviated Memory Inventory for the Chinese (MIC) (5)</w:t>
            </w:r>
          </w:p>
        </w:tc>
        <w:tc>
          <w:tcPr>
            <w:tcW w:w="0" w:type="auto"/>
          </w:tcPr>
          <w:p w14:paraId="11FADF73"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605B089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1F6512C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u w:val="single"/>
                <w:lang w:val="en-US" w:eastAsia="de-DE"/>
              </w:rPr>
            </w:pPr>
            <w:r w:rsidRPr="00853F48">
              <w:rPr>
                <w:rFonts w:ascii="Times New Roman" w:eastAsia="Times New Roman" w:hAnsi="Times New Roman" w:cs="Times New Roman"/>
                <w:color w:val="000000"/>
                <w:sz w:val="20"/>
                <w:szCs w:val="20"/>
                <w:u w:val="single"/>
                <w:lang w:val="en-US" w:eastAsia="de-DE"/>
              </w:rPr>
              <w:t>MCIND, MCIID, AD</w:t>
            </w:r>
          </w:p>
          <w:p w14:paraId="038D025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problems (80.3, 88, 87.3), forgetting where things are placed (68.2, 73.3, 73.2), inability to follow and recall information (48.5, 58, 67.6), inability to recall the names of good friends (39.4, 41.3, 45.1), considering memory to be worse than others of a similar age (30.3, 28, 43.7)</w:t>
            </w:r>
          </w:p>
        </w:tc>
        <w:tc>
          <w:tcPr>
            <w:tcW w:w="0" w:type="auto"/>
          </w:tcPr>
          <w:p w14:paraId="539F1B4B"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3BE766D3" w14:textId="77777777" w:rsidTr="00E72729">
        <w:tc>
          <w:tcPr>
            <w:cnfStyle w:val="001000000000" w:firstRow="0" w:lastRow="0" w:firstColumn="1" w:lastColumn="0" w:oddVBand="0" w:evenVBand="0" w:oddHBand="0" w:evenHBand="0" w:firstRowFirstColumn="0" w:firstRowLastColumn="0" w:lastRowFirstColumn="0" w:lastRowLastColumn="0"/>
            <w:tcW w:w="0" w:type="auto"/>
            <w:gridSpan w:val="2"/>
          </w:tcPr>
          <w:p w14:paraId="4BADD94D"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p>
        </w:tc>
        <w:tc>
          <w:tcPr>
            <w:tcW w:w="0" w:type="auto"/>
            <w:gridSpan w:val="5"/>
          </w:tcPr>
          <w:p w14:paraId="67762E9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Cognitive Complaint Questions and Informant-Reported Questions</w:t>
            </w:r>
          </w:p>
        </w:tc>
      </w:tr>
      <w:tr w:rsidR="002F61E5" w:rsidRPr="004855E7" w14:paraId="5CC8B228"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60770F"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Kim, 2019 </w:t>
            </w:r>
          </w:p>
        </w:tc>
        <w:tc>
          <w:tcPr>
            <w:tcW w:w="0" w:type="auto"/>
            <w:gridSpan w:val="2"/>
          </w:tcPr>
          <w:p w14:paraId="0AC43C17"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Korean Dementia Screening Questionnaire-Cognition (KDSQ-C) (15)</w:t>
            </w:r>
          </w:p>
          <w:p w14:paraId="2541F654"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E93C24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Alzheimer Disease 8 (AD8) (8)</w:t>
            </w:r>
          </w:p>
          <w:p w14:paraId="35917F8E"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29D72901"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Complaints Questionnaire (SMCQ) (14)</w:t>
            </w:r>
          </w:p>
        </w:tc>
        <w:tc>
          <w:tcPr>
            <w:tcW w:w="0" w:type="auto"/>
          </w:tcPr>
          <w:p w14:paraId="3E4CCA9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Neuropsychological battery of tests; clinical diagnosis of dementia (DSM-IV-TR)</w:t>
            </w:r>
          </w:p>
        </w:tc>
        <w:tc>
          <w:tcPr>
            <w:tcW w:w="0" w:type="auto"/>
          </w:tcPr>
          <w:p w14:paraId="23055B7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1F930F8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67C71DA2"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Yes </w:t>
            </w:r>
          </w:p>
        </w:tc>
      </w:tr>
      <w:tr w:rsidR="002F61E5" w:rsidRPr="004855E7" w14:paraId="6D3A89D2"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1A678E5D"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Yim, 2017 </w:t>
            </w:r>
          </w:p>
        </w:tc>
        <w:tc>
          <w:tcPr>
            <w:tcW w:w="0" w:type="auto"/>
            <w:gridSpan w:val="2"/>
          </w:tcPr>
          <w:p w14:paraId="11CD337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Memory Complaints Questionnaire (SMCQ) - SMC (14)</w:t>
            </w:r>
          </w:p>
          <w:p w14:paraId="083D3AF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300C1FE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Seoul Informant Report Questionnaire for Dementia (SIRQD) – Informant-reported (15)</w:t>
            </w:r>
          </w:p>
        </w:tc>
        <w:tc>
          <w:tcPr>
            <w:tcW w:w="0" w:type="auto"/>
          </w:tcPr>
          <w:p w14:paraId="5C30924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CERAD-K neuropsychological battery</w:t>
            </w:r>
          </w:p>
        </w:tc>
        <w:tc>
          <w:tcPr>
            <w:tcW w:w="0" w:type="auto"/>
          </w:tcPr>
          <w:p w14:paraId="4E693BFC"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62F0C3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45F543E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Yes </w:t>
            </w:r>
          </w:p>
        </w:tc>
      </w:tr>
      <w:tr w:rsidR="002F61E5" w:rsidRPr="004855E7" w14:paraId="47BBBE06"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C63120"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Valech, 2015 </w:t>
            </w:r>
          </w:p>
        </w:tc>
        <w:tc>
          <w:tcPr>
            <w:tcW w:w="0" w:type="auto"/>
            <w:gridSpan w:val="2"/>
          </w:tcPr>
          <w:p w14:paraId="435791EF"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Cognitive Decline Questionnaire (SCD-Q), “MyCog” – SMC (24)</w:t>
            </w:r>
          </w:p>
          <w:p w14:paraId="11865AA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6A50E141"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Subjective Cognitive Decline Questionnaire (SCD-Q), “TheirCog” – informant-reported (24)</w:t>
            </w:r>
          </w:p>
        </w:tc>
        <w:tc>
          <w:tcPr>
            <w:tcW w:w="0" w:type="auto"/>
          </w:tcPr>
          <w:p w14:paraId="3BDE6EF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 and psychological assessment; AD biomarkers</w:t>
            </w:r>
          </w:p>
        </w:tc>
        <w:tc>
          <w:tcPr>
            <w:tcW w:w="0" w:type="auto"/>
          </w:tcPr>
          <w:p w14:paraId="5F544A0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FA8ED3F"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4EA269A5"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Yes </w:t>
            </w:r>
          </w:p>
        </w:tc>
      </w:tr>
      <w:tr w:rsidR="002F61E5" w:rsidRPr="004855E7" w14:paraId="0AEBC053"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0875D947"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Gavett, 2011</w:t>
            </w:r>
          </w:p>
        </w:tc>
        <w:tc>
          <w:tcPr>
            <w:tcW w:w="0" w:type="auto"/>
            <w:gridSpan w:val="2"/>
          </w:tcPr>
          <w:p w14:paraId="2C1D3E4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Informant Questionnaire on Cognitive Decline in the Elderly (IQCODE) (16)</w:t>
            </w:r>
          </w:p>
        </w:tc>
        <w:tc>
          <w:tcPr>
            <w:tcW w:w="0" w:type="auto"/>
          </w:tcPr>
          <w:p w14:paraId="78EA05B2"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44E985C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4DBF31B0"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AE1FE7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No</w:t>
            </w:r>
          </w:p>
        </w:tc>
      </w:tr>
      <w:tr w:rsidR="002F61E5" w:rsidRPr="004855E7" w14:paraId="28388635"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113DE042"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p>
        </w:tc>
        <w:tc>
          <w:tcPr>
            <w:tcW w:w="0" w:type="auto"/>
            <w:gridSpan w:val="5"/>
          </w:tcPr>
          <w:p w14:paraId="0DD10EFC"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Informant-Reported Questions</w:t>
            </w:r>
          </w:p>
        </w:tc>
      </w:tr>
      <w:tr w:rsidR="002F61E5" w:rsidRPr="004855E7" w14:paraId="648620E5"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1B815C9F"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Tew, 2015 </w:t>
            </w:r>
          </w:p>
        </w:tc>
        <w:tc>
          <w:tcPr>
            <w:tcW w:w="0" w:type="auto"/>
            <w:gridSpan w:val="2"/>
          </w:tcPr>
          <w:p w14:paraId="4CCB108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Alzheimer Disease 8 (AD8) (8)</w:t>
            </w:r>
          </w:p>
        </w:tc>
        <w:tc>
          <w:tcPr>
            <w:tcW w:w="0" w:type="auto"/>
          </w:tcPr>
          <w:p w14:paraId="25462A44"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MMSE; Recall tests; Copy tests</w:t>
            </w:r>
          </w:p>
        </w:tc>
        <w:tc>
          <w:tcPr>
            <w:tcW w:w="0" w:type="auto"/>
          </w:tcPr>
          <w:p w14:paraId="0FD04C0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45012313"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57AB5FC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4EDB31CE"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A8D599"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 xml:space="preserve">Li, 2013 </w:t>
            </w:r>
          </w:p>
        </w:tc>
        <w:tc>
          <w:tcPr>
            <w:tcW w:w="0" w:type="auto"/>
            <w:gridSpan w:val="2"/>
          </w:tcPr>
          <w:p w14:paraId="5017115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General Practitioner Assessment of Cognition (GPCOG</w:t>
            </w:r>
            <w:r w:rsidRPr="00853F48">
              <w:rPr>
                <w:rFonts w:ascii="Times New Roman" w:eastAsia="Times New Roman" w:hAnsi="Times New Roman" w:cs="Times New Roman"/>
                <w:color w:val="000000"/>
                <w:sz w:val="20"/>
                <w:szCs w:val="20"/>
                <w:vertAlign w:val="subscript"/>
                <w:lang w:val="en-US" w:eastAsia="de-DE"/>
              </w:rPr>
              <w:t>informant</w:t>
            </w:r>
            <w:r w:rsidRPr="00853F48">
              <w:rPr>
                <w:rFonts w:ascii="Times New Roman" w:eastAsia="Times New Roman" w:hAnsi="Times New Roman" w:cs="Times New Roman"/>
                <w:color w:val="000000"/>
                <w:sz w:val="20"/>
                <w:szCs w:val="20"/>
                <w:lang w:val="en-US" w:eastAsia="de-DE"/>
              </w:rPr>
              <w:t>) (6)</w:t>
            </w:r>
          </w:p>
        </w:tc>
        <w:tc>
          <w:tcPr>
            <w:tcW w:w="0" w:type="auto"/>
          </w:tcPr>
          <w:p w14:paraId="200130BE"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MMSE; HDS; DSM-IV for validation</w:t>
            </w:r>
          </w:p>
        </w:tc>
        <w:tc>
          <w:tcPr>
            <w:tcW w:w="0" w:type="auto"/>
          </w:tcPr>
          <w:p w14:paraId="68B79F5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6768E741"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E7CA538"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r w:rsidR="002F61E5" w:rsidRPr="004855E7" w14:paraId="7AD25181" w14:textId="77777777" w:rsidTr="00E72729">
        <w:tc>
          <w:tcPr>
            <w:cnfStyle w:val="001000000000" w:firstRow="0" w:lastRow="0" w:firstColumn="1" w:lastColumn="0" w:oddVBand="0" w:evenVBand="0" w:oddHBand="0" w:evenHBand="0" w:firstRowFirstColumn="0" w:firstRowLastColumn="0" w:lastRowFirstColumn="0" w:lastRowLastColumn="0"/>
            <w:tcW w:w="0" w:type="auto"/>
          </w:tcPr>
          <w:p w14:paraId="4A128B38"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Abbate, 2011</w:t>
            </w:r>
          </w:p>
        </w:tc>
        <w:tc>
          <w:tcPr>
            <w:tcW w:w="0" w:type="auto"/>
            <w:gridSpan w:val="2"/>
          </w:tcPr>
          <w:p w14:paraId="4473C5F3"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Interview on Cognitive Status (8)</w:t>
            </w:r>
          </w:p>
        </w:tc>
        <w:tc>
          <w:tcPr>
            <w:tcW w:w="0" w:type="auto"/>
          </w:tcPr>
          <w:p w14:paraId="287DD69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Telephone interview</w:t>
            </w:r>
          </w:p>
        </w:tc>
        <w:tc>
          <w:tcPr>
            <w:tcW w:w="0" w:type="auto"/>
          </w:tcPr>
          <w:p w14:paraId="7E9F2EF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Anterograde memory</w:t>
            </w:r>
          </w:p>
          <w:p w14:paraId="3BDA4D3E"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0D2195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Retrograde memory</w:t>
            </w:r>
          </w:p>
          <w:p w14:paraId="5722117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103EDCC"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Attention</w:t>
            </w:r>
          </w:p>
          <w:p w14:paraId="1EC68B78"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1E144B3"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Awareness</w:t>
            </w:r>
          </w:p>
          <w:p w14:paraId="7A15532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1F23EDF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Temporal orientation</w:t>
            </w:r>
          </w:p>
          <w:p w14:paraId="406DCF43"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4FB51AB3"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Spatial orientation</w:t>
            </w:r>
          </w:p>
        </w:tc>
        <w:tc>
          <w:tcPr>
            <w:tcW w:w="0" w:type="auto"/>
          </w:tcPr>
          <w:p w14:paraId="71CE2B4D"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Anterograde memory (91.6)</w:t>
            </w:r>
          </w:p>
          <w:p w14:paraId="0D6026DB"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3CBF5907"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Attention deficits (63.5)</w:t>
            </w:r>
          </w:p>
          <w:p w14:paraId="13C7479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F127B31"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Executive function (46.2)</w:t>
            </w:r>
          </w:p>
          <w:p w14:paraId="630CF2F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02D30592"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Retrograde memory (30.3),</w:t>
            </w:r>
          </w:p>
          <w:p w14:paraId="748958D9"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422807C"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Awareness (28.6)</w:t>
            </w:r>
          </w:p>
          <w:p w14:paraId="4AA7E4FF"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2608DD36"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Language/spatial orientation/spatial abilities (21.8)</w:t>
            </w:r>
          </w:p>
          <w:p w14:paraId="3D1B1A8A"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p>
          <w:p w14:paraId="53D5E345"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Temporal orientation (11.8)</w:t>
            </w:r>
          </w:p>
        </w:tc>
        <w:tc>
          <w:tcPr>
            <w:tcW w:w="0" w:type="auto"/>
          </w:tcPr>
          <w:p w14:paraId="4F7C9E50" w14:textId="77777777" w:rsidR="002F61E5" w:rsidRPr="00853F48" w:rsidRDefault="002F61E5" w:rsidP="002F61E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lastRenderedPageBreak/>
              <w:t>Yes</w:t>
            </w:r>
          </w:p>
        </w:tc>
      </w:tr>
      <w:tr w:rsidR="002F61E5" w:rsidRPr="004855E7" w14:paraId="3158517C" w14:textId="77777777" w:rsidTr="00E72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8DB806" w14:textId="77777777" w:rsidR="002F61E5" w:rsidRPr="00853F48" w:rsidRDefault="002F61E5" w:rsidP="002F61E5">
            <w:pPr>
              <w:autoSpaceDE w:val="0"/>
              <w:autoSpaceDN w:val="0"/>
              <w:adjustRightInd w:val="0"/>
              <w:snapToGrid w:val="0"/>
              <w:jc w:val="center"/>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Ayalon, 2011</w:t>
            </w:r>
          </w:p>
        </w:tc>
        <w:tc>
          <w:tcPr>
            <w:tcW w:w="0" w:type="auto"/>
            <w:gridSpan w:val="2"/>
          </w:tcPr>
          <w:p w14:paraId="64D9A940"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1 Single-Item Informant Measure (1)*</w:t>
            </w:r>
          </w:p>
        </w:tc>
        <w:tc>
          <w:tcPr>
            <w:tcW w:w="0" w:type="auto"/>
          </w:tcPr>
          <w:p w14:paraId="0D3EEBD2"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Neuropsychological battery of tests</w:t>
            </w:r>
          </w:p>
        </w:tc>
        <w:tc>
          <w:tcPr>
            <w:tcW w:w="0" w:type="auto"/>
          </w:tcPr>
          <w:p w14:paraId="41E99C86"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3A26943A"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NR</w:t>
            </w:r>
          </w:p>
        </w:tc>
        <w:tc>
          <w:tcPr>
            <w:tcW w:w="0" w:type="auto"/>
          </w:tcPr>
          <w:p w14:paraId="75113CD9" w14:textId="77777777" w:rsidR="002F61E5" w:rsidRPr="00853F48" w:rsidRDefault="002F61E5" w:rsidP="002F61E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eastAsia="de-DE"/>
              </w:rPr>
            </w:pPr>
            <w:r w:rsidRPr="00853F48">
              <w:rPr>
                <w:rFonts w:ascii="Times New Roman" w:eastAsia="Times New Roman" w:hAnsi="Times New Roman" w:cs="Times New Roman"/>
                <w:color w:val="000000"/>
                <w:sz w:val="20"/>
                <w:szCs w:val="20"/>
                <w:lang w:val="en-US" w:eastAsia="de-DE"/>
              </w:rPr>
              <w:t>Yes</w:t>
            </w:r>
          </w:p>
        </w:tc>
      </w:tr>
    </w:tbl>
    <w:p w14:paraId="243AD73E" w14:textId="147B5DCF" w:rsidR="002F61E5" w:rsidRDefault="002F61E5" w:rsidP="002F61E5">
      <w:pPr>
        <w:adjustRightInd w:val="0"/>
        <w:snapToGrid w:val="0"/>
        <w:spacing w:after="120" w:line="260" w:lineRule="atLeast"/>
        <w:ind w:left="425" w:right="425"/>
        <w:jc w:val="both"/>
        <w:rPr>
          <w:rFonts w:asciiTheme="majorBidi" w:eastAsia="Times New Roman" w:hAnsiTheme="majorBidi" w:cstheme="majorBidi"/>
          <w:color w:val="000000"/>
          <w:sz w:val="20"/>
          <w:szCs w:val="20"/>
          <w:lang w:eastAsia="de-DE" w:bidi="en-US"/>
        </w:rPr>
      </w:pPr>
      <w:r w:rsidRPr="00CE77D4">
        <w:rPr>
          <w:rFonts w:asciiTheme="majorBidi" w:eastAsia="Times New Roman" w:hAnsiTheme="majorBidi" w:cstheme="majorBidi"/>
          <w:b/>
          <w:color w:val="000000"/>
          <w:sz w:val="20"/>
          <w:szCs w:val="20"/>
          <w:lang w:eastAsia="de-DE" w:bidi="en-US"/>
        </w:rPr>
        <w:t>Abbreviations:</w:t>
      </w:r>
      <w:r w:rsidRPr="00CE77D4">
        <w:rPr>
          <w:rFonts w:asciiTheme="majorBidi" w:eastAsia="Times New Roman" w:hAnsiTheme="majorBidi" w:cstheme="majorBidi"/>
          <w:color w:val="000000"/>
          <w:sz w:val="20"/>
          <w:szCs w:val="20"/>
          <w:lang w:eastAsia="de-DE" w:bidi="en-US"/>
        </w:rPr>
        <w:t xml:space="preserve"> </w:t>
      </w:r>
      <w:r w:rsidR="004855E7">
        <w:rPr>
          <w:rFonts w:ascii="Times New Roman" w:eastAsia="Times New Roman" w:hAnsi="Times New Roman" w:cs="Times New Roman"/>
          <w:color w:val="000000"/>
          <w:sz w:val="20"/>
          <w:szCs w:val="20"/>
          <w:lang w:eastAsia="de-DE" w:bidi="en-US"/>
        </w:rPr>
        <w:t xml:space="preserve">PROMIS, </w:t>
      </w:r>
      <w:r w:rsidR="004855E7" w:rsidRPr="00D05B16">
        <w:rPr>
          <w:rFonts w:ascii="Times New Roman" w:eastAsia="Times New Roman" w:hAnsi="Times New Roman" w:cs="Times New Roman"/>
          <w:color w:val="000000"/>
          <w:sz w:val="20"/>
          <w:szCs w:val="20"/>
          <w:lang w:eastAsia="de-DE" w:bidi="en-US"/>
        </w:rPr>
        <w:t>Patient-Reported Outcomes Measurement Information System</w:t>
      </w:r>
      <w:r w:rsidR="004855E7">
        <w:rPr>
          <w:rFonts w:ascii="Times New Roman" w:eastAsia="Times New Roman" w:hAnsi="Times New Roman" w:cs="Times New Roman"/>
          <w:color w:val="000000"/>
          <w:sz w:val="20"/>
          <w:szCs w:val="20"/>
          <w:lang w:eastAsia="de-DE" w:bidi="en-US"/>
        </w:rPr>
        <w:t xml:space="preserve">; WAIS, </w:t>
      </w:r>
      <w:r w:rsidR="004855E7" w:rsidRPr="00CD491E">
        <w:rPr>
          <w:rFonts w:ascii="Times New Roman" w:eastAsia="Times New Roman" w:hAnsi="Times New Roman" w:cs="Times New Roman"/>
          <w:color w:val="000000"/>
          <w:sz w:val="20"/>
          <w:szCs w:val="20"/>
          <w:lang w:eastAsia="de-DE" w:bidi="en-US"/>
        </w:rPr>
        <w:t xml:space="preserve">Wechsler </w:t>
      </w:r>
      <w:r w:rsidR="004855E7">
        <w:rPr>
          <w:rFonts w:ascii="Times New Roman" w:eastAsia="Times New Roman" w:hAnsi="Times New Roman" w:cs="Times New Roman"/>
          <w:color w:val="000000"/>
          <w:sz w:val="20"/>
          <w:szCs w:val="20"/>
          <w:lang w:eastAsia="de-DE" w:bidi="en-US"/>
        </w:rPr>
        <w:t>a</w:t>
      </w:r>
      <w:r w:rsidR="004855E7" w:rsidRPr="00CD491E">
        <w:rPr>
          <w:rFonts w:ascii="Times New Roman" w:eastAsia="Times New Roman" w:hAnsi="Times New Roman" w:cs="Times New Roman"/>
          <w:color w:val="000000"/>
          <w:sz w:val="20"/>
          <w:szCs w:val="20"/>
          <w:lang w:eastAsia="de-DE" w:bidi="en-US"/>
        </w:rPr>
        <w:t xml:space="preserve">dult </w:t>
      </w:r>
      <w:r w:rsidR="004855E7">
        <w:rPr>
          <w:rFonts w:ascii="Times New Roman" w:eastAsia="Times New Roman" w:hAnsi="Times New Roman" w:cs="Times New Roman"/>
          <w:color w:val="000000"/>
          <w:sz w:val="20"/>
          <w:szCs w:val="20"/>
          <w:lang w:eastAsia="de-DE" w:bidi="en-US"/>
        </w:rPr>
        <w:t>i</w:t>
      </w:r>
      <w:r w:rsidR="004855E7" w:rsidRPr="00CD491E">
        <w:rPr>
          <w:rFonts w:ascii="Times New Roman" w:eastAsia="Times New Roman" w:hAnsi="Times New Roman" w:cs="Times New Roman"/>
          <w:color w:val="000000"/>
          <w:sz w:val="20"/>
          <w:szCs w:val="20"/>
          <w:lang w:eastAsia="de-DE" w:bidi="en-US"/>
        </w:rPr>
        <w:t xml:space="preserve">ntelligence </w:t>
      </w:r>
      <w:r w:rsidR="004855E7">
        <w:rPr>
          <w:rFonts w:ascii="Times New Roman" w:eastAsia="Times New Roman" w:hAnsi="Times New Roman" w:cs="Times New Roman"/>
          <w:color w:val="000000"/>
          <w:sz w:val="20"/>
          <w:szCs w:val="20"/>
          <w:lang w:eastAsia="de-DE" w:bidi="en-US"/>
        </w:rPr>
        <w:t>s</w:t>
      </w:r>
      <w:r w:rsidR="004855E7" w:rsidRPr="00CD491E">
        <w:rPr>
          <w:rFonts w:ascii="Times New Roman" w:eastAsia="Times New Roman" w:hAnsi="Times New Roman" w:cs="Times New Roman"/>
          <w:color w:val="000000"/>
          <w:sz w:val="20"/>
          <w:szCs w:val="20"/>
          <w:lang w:eastAsia="de-DE" w:bidi="en-US"/>
        </w:rPr>
        <w:t>cale</w:t>
      </w:r>
      <w:r w:rsidR="004855E7">
        <w:rPr>
          <w:rFonts w:ascii="Times New Roman" w:eastAsia="Times New Roman" w:hAnsi="Times New Roman" w:cs="Times New Roman"/>
          <w:color w:val="000000"/>
          <w:sz w:val="20"/>
          <w:szCs w:val="20"/>
          <w:lang w:eastAsia="de-DE" w:bidi="en-US"/>
        </w:rPr>
        <w:t xml:space="preserve">; WMS, </w:t>
      </w:r>
      <w:r w:rsidR="004855E7" w:rsidRPr="00CD491E">
        <w:rPr>
          <w:rFonts w:ascii="Times New Roman" w:eastAsia="Times New Roman" w:hAnsi="Times New Roman" w:cs="Times New Roman"/>
          <w:color w:val="000000"/>
          <w:sz w:val="20"/>
          <w:szCs w:val="20"/>
          <w:lang w:eastAsia="de-DE" w:bidi="en-US"/>
        </w:rPr>
        <w:t>Wechsler Memory Scale</w:t>
      </w:r>
      <w:r w:rsidR="004855E7">
        <w:rPr>
          <w:rFonts w:ascii="Times New Roman" w:eastAsia="Times New Roman" w:hAnsi="Times New Roman" w:cs="Times New Roman"/>
          <w:color w:val="000000"/>
          <w:sz w:val="20"/>
          <w:szCs w:val="20"/>
          <w:lang w:eastAsia="de-DE" w:bidi="en-US"/>
        </w:rPr>
        <w:t>;</w:t>
      </w:r>
      <w:r w:rsidR="004855E7" w:rsidRPr="00CD491E">
        <w:rPr>
          <w:rFonts w:ascii="Times New Roman" w:eastAsia="Times New Roman" w:hAnsi="Times New Roman" w:cs="Times New Roman"/>
          <w:color w:val="000000"/>
          <w:sz w:val="20"/>
          <w:szCs w:val="20"/>
          <w:lang w:eastAsia="de-DE" w:bidi="en-US"/>
        </w:rPr>
        <w:t xml:space="preserve"> </w:t>
      </w:r>
      <w:r w:rsidRPr="00CE77D4">
        <w:rPr>
          <w:rFonts w:asciiTheme="majorBidi" w:eastAsia="Times New Roman" w:hAnsiTheme="majorBidi" w:cstheme="majorBidi"/>
          <w:color w:val="000000"/>
          <w:sz w:val="20"/>
          <w:szCs w:val="20"/>
          <w:lang w:eastAsia="de-DE" w:bidi="en-US"/>
        </w:rPr>
        <w:t>MCIIND, mild cognitive impairment possible incipient dementia; MCIND, mild cognitive impairment not demented;</w:t>
      </w:r>
      <w:r w:rsidR="004855E7" w:rsidRPr="004855E7">
        <w:rPr>
          <w:rFonts w:ascii="Times New Roman" w:hAnsi="Times New Roman" w:cs="Times New Roman"/>
          <w:sz w:val="20"/>
          <w:szCs w:val="20"/>
        </w:rPr>
        <w:t xml:space="preserve"> </w:t>
      </w:r>
      <w:r w:rsidR="004855E7">
        <w:rPr>
          <w:rFonts w:ascii="Times New Roman" w:hAnsi="Times New Roman" w:cs="Times New Roman"/>
          <w:sz w:val="20"/>
          <w:szCs w:val="20"/>
        </w:rPr>
        <w:t xml:space="preserve">MCIID, </w:t>
      </w:r>
      <w:r w:rsidR="004855E7" w:rsidRPr="008345C4">
        <w:rPr>
          <w:rFonts w:ascii="Times New Roman" w:hAnsi="Times New Roman" w:cs="Times New Roman"/>
          <w:sz w:val="20"/>
          <w:szCs w:val="20"/>
        </w:rPr>
        <w:t>MCI possible incipient dementia</w:t>
      </w:r>
      <w:r w:rsidR="004855E7">
        <w:rPr>
          <w:rFonts w:ascii="Times New Roman" w:hAnsi="Times New Roman" w:cs="Times New Roman"/>
          <w:sz w:val="20"/>
          <w:szCs w:val="20"/>
        </w:rPr>
        <w:t xml:space="preserve">; </w:t>
      </w:r>
      <w:r w:rsidR="004855E7" w:rsidRPr="00CD491E">
        <w:rPr>
          <w:rFonts w:ascii="Times New Roman" w:hAnsi="Times New Roman" w:cs="Times New Roman"/>
          <w:sz w:val="20"/>
          <w:szCs w:val="20"/>
        </w:rPr>
        <w:t xml:space="preserve">MMSE, </w:t>
      </w:r>
      <w:r w:rsidR="004855E7" w:rsidRPr="00CD491E">
        <w:rPr>
          <w:rFonts w:ascii="Times New Roman" w:eastAsia="Times New Roman" w:hAnsi="Times New Roman" w:cs="Times New Roman"/>
          <w:color w:val="000000"/>
          <w:sz w:val="20"/>
          <w:szCs w:val="20"/>
          <w:lang w:eastAsia="de-DE" w:bidi="en-US"/>
        </w:rPr>
        <w:t xml:space="preserve">mini-mental state examination; </w:t>
      </w:r>
      <w:r w:rsidR="004855E7">
        <w:rPr>
          <w:rFonts w:ascii="Times New Roman" w:eastAsia="Times New Roman" w:hAnsi="Times New Roman" w:cs="Times New Roman"/>
          <w:color w:val="000000"/>
          <w:sz w:val="20"/>
          <w:szCs w:val="20"/>
          <w:lang w:eastAsia="de-DE" w:bidi="en-US"/>
        </w:rPr>
        <w:t xml:space="preserve">SLUMS, </w:t>
      </w:r>
      <w:r w:rsidR="004855E7" w:rsidRPr="00CD491E">
        <w:rPr>
          <w:rFonts w:ascii="Times New Roman" w:eastAsia="Times New Roman" w:hAnsi="Times New Roman" w:cs="Times New Roman"/>
          <w:color w:val="000000"/>
          <w:sz w:val="20"/>
          <w:szCs w:val="20"/>
          <w:lang w:eastAsia="de-DE" w:bidi="en-US"/>
        </w:rPr>
        <w:t>Saint Louis University Mental Status</w:t>
      </w:r>
      <w:r w:rsidR="004855E7">
        <w:rPr>
          <w:rFonts w:ascii="Times New Roman" w:eastAsia="Times New Roman" w:hAnsi="Times New Roman" w:cs="Times New Roman"/>
          <w:color w:val="000000"/>
          <w:sz w:val="20"/>
          <w:szCs w:val="20"/>
          <w:lang w:eastAsia="de-DE" w:bidi="en-US"/>
        </w:rPr>
        <w:t>;</w:t>
      </w:r>
      <w:r w:rsidR="004855E7" w:rsidRPr="00CD491E">
        <w:rPr>
          <w:rFonts w:ascii="Times New Roman" w:eastAsia="Times New Roman" w:hAnsi="Times New Roman" w:cs="Times New Roman"/>
          <w:color w:val="000000"/>
          <w:sz w:val="20"/>
          <w:szCs w:val="20"/>
          <w:lang w:eastAsia="de-DE" w:bidi="en-US"/>
        </w:rPr>
        <w:t xml:space="preserve"> DSM, diagnostic and statistical manual of mental disorders;  HDS, </w:t>
      </w:r>
      <w:r w:rsidR="004855E7">
        <w:rPr>
          <w:rFonts w:ascii="Times New Roman" w:eastAsia="Times New Roman" w:hAnsi="Times New Roman" w:cs="Times New Roman"/>
          <w:color w:val="000000"/>
          <w:sz w:val="20"/>
          <w:szCs w:val="20"/>
          <w:lang w:eastAsia="de-DE" w:bidi="en-US"/>
        </w:rPr>
        <w:t>H</w:t>
      </w:r>
      <w:r w:rsidR="004855E7" w:rsidRPr="00CD491E">
        <w:rPr>
          <w:rFonts w:ascii="Times New Roman" w:eastAsia="Times New Roman" w:hAnsi="Times New Roman" w:cs="Times New Roman"/>
          <w:color w:val="000000"/>
          <w:sz w:val="20"/>
          <w:szCs w:val="20"/>
          <w:lang w:eastAsia="de-DE" w:bidi="en-US"/>
        </w:rPr>
        <w:t xml:space="preserve">asegawa </w:t>
      </w:r>
      <w:r w:rsidR="004855E7">
        <w:rPr>
          <w:rFonts w:ascii="Times New Roman" w:eastAsia="Times New Roman" w:hAnsi="Times New Roman" w:cs="Times New Roman"/>
          <w:color w:val="000000"/>
          <w:sz w:val="20"/>
          <w:szCs w:val="20"/>
          <w:lang w:eastAsia="de-DE" w:bidi="en-US"/>
        </w:rPr>
        <w:t>d</w:t>
      </w:r>
      <w:r w:rsidR="004855E7" w:rsidRPr="00CD491E">
        <w:rPr>
          <w:rFonts w:ascii="Times New Roman" w:eastAsia="Times New Roman" w:hAnsi="Times New Roman" w:cs="Times New Roman"/>
          <w:color w:val="000000"/>
          <w:sz w:val="20"/>
          <w:szCs w:val="20"/>
          <w:lang w:eastAsia="de-DE" w:bidi="en-US"/>
        </w:rPr>
        <w:t xml:space="preserve">ementia </w:t>
      </w:r>
      <w:r w:rsidR="004855E7">
        <w:rPr>
          <w:rFonts w:ascii="Times New Roman" w:eastAsia="Times New Roman" w:hAnsi="Times New Roman" w:cs="Times New Roman"/>
          <w:color w:val="000000"/>
          <w:sz w:val="20"/>
          <w:szCs w:val="20"/>
          <w:lang w:eastAsia="de-DE" w:bidi="en-US"/>
        </w:rPr>
        <w:t>s</w:t>
      </w:r>
      <w:r w:rsidR="004855E7" w:rsidRPr="00CD491E">
        <w:rPr>
          <w:rFonts w:ascii="Times New Roman" w:eastAsia="Times New Roman" w:hAnsi="Times New Roman" w:cs="Times New Roman"/>
          <w:color w:val="000000"/>
          <w:sz w:val="20"/>
          <w:szCs w:val="20"/>
          <w:lang w:eastAsia="de-DE" w:bidi="en-US"/>
        </w:rPr>
        <w:t xml:space="preserve">cale, </w:t>
      </w:r>
      <w:r w:rsidR="004855E7">
        <w:rPr>
          <w:rFonts w:ascii="Times New Roman" w:eastAsia="Times New Roman" w:hAnsi="Times New Roman" w:cs="Times New Roman"/>
          <w:color w:val="000000"/>
          <w:sz w:val="20"/>
          <w:szCs w:val="20"/>
          <w:lang w:eastAsia="de-DE" w:bidi="en-US"/>
        </w:rPr>
        <w:t xml:space="preserve">MoCA, </w:t>
      </w:r>
      <w:r w:rsidR="004855E7" w:rsidRPr="00CD491E">
        <w:rPr>
          <w:rFonts w:ascii="Times New Roman" w:eastAsia="Times New Roman" w:hAnsi="Times New Roman" w:cs="Times New Roman"/>
          <w:color w:val="000000"/>
          <w:sz w:val="20"/>
          <w:szCs w:val="20"/>
          <w:lang w:eastAsia="de-DE" w:bidi="en-US"/>
        </w:rPr>
        <w:t xml:space="preserve">Montreal </w:t>
      </w:r>
      <w:r w:rsidR="004855E7">
        <w:rPr>
          <w:rFonts w:ascii="Times New Roman" w:eastAsia="Times New Roman" w:hAnsi="Times New Roman" w:cs="Times New Roman"/>
          <w:color w:val="000000"/>
          <w:sz w:val="20"/>
          <w:szCs w:val="20"/>
          <w:lang w:eastAsia="de-DE" w:bidi="en-US"/>
        </w:rPr>
        <w:t>c</w:t>
      </w:r>
      <w:r w:rsidR="004855E7" w:rsidRPr="00CD491E">
        <w:rPr>
          <w:rFonts w:ascii="Times New Roman" w:eastAsia="Times New Roman" w:hAnsi="Times New Roman" w:cs="Times New Roman"/>
          <w:color w:val="000000"/>
          <w:sz w:val="20"/>
          <w:szCs w:val="20"/>
          <w:lang w:eastAsia="de-DE" w:bidi="en-US"/>
        </w:rPr>
        <w:t xml:space="preserve">ognitive </w:t>
      </w:r>
      <w:r w:rsidR="004855E7">
        <w:rPr>
          <w:rFonts w:ascii="Times New Roman" w:eastAsia="Times New Roman" w:hAnsi="Times New Roman" w:cs="Times New Roman"/>
          <w:color w:val="000000"/>
          <w:sz w:val="20"/>
          <w:szCs w:val="20"/>
          <w:lang w:eastAsia="de-DE" w:bidi="en-US"/>
        </w:rPr>
        <w:t>a</w:t>
      </w:r>
      <w:r w:rsidR="004855E7" w:rsidRPr="00CD491E">
        <w:rPr>
          <w:rFonts w:ascii="Times New Roman" w:eastAsia="Times New Roman" w:hAnsi="Times New Roman" w:cs="Times New Roman"/>
          <w:color w:val="000000"/>
          <w:sz w:val="20"/>
          <w:szCs w:val="20"/>
          <w:lang w:eastAsia="de-DE" w:bidi="en-US"/>
        </w:rPr>
        <w:t>ssessment</w:t>
      </w:r>
      <w:r w:rsidR="004855E7">
        <w:rPr>
          <w:rFonts w:ascii="Times New Roman" w:eastAsia="Times New Roman" w:hAnsi="Times New Roman" w:cs="Times New Roman"/>
          <w:color w:val="000000"/>
          <w:sz w:val="20"/>
          <w:szCs w:val="20"/>
          <w:lang w:eastAsia="de-DE" w:bidi="en-US"/>
        </w:rPr>
        <w:t xml:space="preserve">; </w:t>
      </w:r>
      <w:r w:rsidRPr="00CE77D4">
        <w:rPr>
          <w:rFonts w:asciiTheme="majorBidi" w:eastAsia="Times New Roman" w:hAnsiTheme="majorBidi" w:cstheme="majorBidi"/>
          <w:color w:val="000000"/>
          <w:sz w:val="20"/>
          <w:szCs w:val="20"/>
          <w:lang w:eastAsia="de-DE" w:bidi="en-US"/>
        </w:rPr>
        <w:t xml:space="preserve"> NR, Not Reported.</w:t>
      </w:r>
    </w:p>
    <w:p w14:paraId="52E511FF" w14:textId="77777777" w:rsidR="004855E7" w:rsidRPr="00CE77D4" w:rsidRDefault="004855E7" w:rsidP="002F61E5">
      <w:pPr>
        <w:adjustRightInd w:val="0"/>
        <w:snapToGrid w:val="0"/>
        <w:spacing w:after="120" w:line="260" w:lineRule="atLeast"/>
        <w:ind w:left="425" w:right="425"/>
        <w:jc w:val="both"/>
        <w:rPr>
          <w:rFonts w:asciiTheme="majorBidi" w:eastAsia="Times New Roman" w:hAnsiTheme="majorBidi" w:cstheme="majorBidi"/>
          <w:color w:val="000000"/>
          <w:sz w:val="20"/>
          <w:szCs w:val="20"/>
          <w:lang w:eastAsia="de-DE" w:bidi="en-US"/>
        </w:rPr>
      </w:pPr>
    </w:p>
    <w:p w14:paraId="00602D29" w14:textId="7574EA0F" w:rsidR="002F61E5" w:rsidRPr="00CE77D4" w:rsidRDefault="004855E7" w:rsidP="004855E7">
      <w:pPr>
        <w:adjustRightInd w:val="0"/>
        <w:snapToGrid w:val="0"/>
        <w:spacing w:after="120" w:line="260" w:lineRule="atLeast"/>
        <w:rPr>
          <w:rFonts w:asciiTheme="majorBidi" w:eastAsia="Times New Roman" w:hAnsiTheme="majorBidi" w:cstheme="majorBidi"/>
          <w:color w:val="000000"/>
          <w:sz w:val="20"/>
          <w:szCs w:val="20"/>
          <w:lang w:eastAsia="de-DE" w:bidi="en-US"/>
        </w:rPr>
      </w:pPr>
      <w:r>
        <w:rPr>
          <w:rFonts w:asciiTheme="majorBidi" w:eastAsia="Times New Roman" w:hAnsiTheme="majorBidi" w:cstheme="majorBidi"/>
          <w:color w:val="000000"/>
          <w:sz w:val="20"/>
          <w:szCs w:val="20"/>
          <w:lang w:eastAsia="de-DE" w:bidi="en-US"/>
        </w:rPr>
        <w:t xml:space="preserve">         </w:t>
      </w:r>
      <w:r w:rsidR="002F61E5" w:rsidRPr="00CE77D4">
        <w:rPr>
          <w:rFonts w:asciiTheme="majorBidi" w:eastAsia="Times New Roman" w:hAnsiTheme="majorBidi" w:cstheme="majorBidi"/>
          <w:color w:val="000000"/>
          <w:sz w:val="20"/>
          <w:szCs w:val="20"/>
          <w:lang w:eastAsia="de-DE" w:bidi="en-US"/>
        </w:rPr>
        <w:t>*Questionnaire included subjective memory complaint items only.</w:t>
      </w:r>
    </w:p>
    <w:p w14:paraId="04B123E3" w14:textId="77777777" w:rsidR="002F61E5" w:rsidRPr="00CE77D4" w:rsidRDefault="002F61E5" w:rsidP="002F61E5">
      <w:pPr>
        <w:adjustRightInd w:val="0"/>
        <w:snapToGrid w:val="0"/>
        <w:spacing w:after="120" w:line="260" w:lineRule="atLeast"/>
        <w:ind w:left="425" w:right="425"/>
        <w:jc w:val="both"/>
        <w:rPr>
          <w:rFonts w:asciiTheme="majorBidi" w:eastAsia="Times New Roman" w:hAnsiTheme="majorBidi" w:cstheme="majorBidi"/>
          <w:color w:val="000000"/>
          <w:sz w:val="20"/>
          <w:szCs w:val="20"/>
          <w:lang w:eastAsia="de-DE" w:bidi="en-US"/>
        </w:rPr>
      </w:pPr>
      <w:r w:rsidRPr="00CE77D4">
        <w:rPr>
          <w:rFonts w:asciiTheme="majorBidi" w:eastAsia="Times New Roman" w:hAnsiTheme="majorBidi" w:cstheme="majorBidi"/>
          <w:color w:val="000000"/>
          <w:sz w:val="20"/>
          <w:szCs w:val="20"/>
          <w:lang w:eastAsia="de-DE" w:bidi="en-US"/>
        </w:rPr>
        <w:t>**Tests included in the neuropsychological test batteries differ depending on the study, but they commonly included free and cured memory recall, verbal and attention tests.</w:t>
      </w:r>
    </w:p>
    <w:p w14:paraId="5679BA84" w14:textId="77777777" w:rsidR="002770D4" w:rsidRPr="00CE77D4" w:rsidRDefault="002770D4">
      <w:pPr>
        <w:rPr>
          <w:rFonts w:asciiTheme="majorBidi" w:hAnsiTheme="majorBidi" w:cstheme="majorBidi"/>
          <w:sz w:val="20"/>
          <w:szCs w:val="20"/>
        </w:rPr>
      </w:pPr>
    </w:p>
    <w:sectPr w:rsidR="002770D4" w:rsidRPr="00CE77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E5"/>
    <w:rsid w:val="00031E5C"/>
    <w:rsid w:val="002770D4"/>
    <w:rsid w:val="002F61E5"/>
    <w:rsid w:val="004855E7"/>
    <w:rsid w:val="00676BA7"/>
    <w:rsid w:val="007D289B"/>
    <w:rsid w:val="00853F48"/>
    <w:rsid w:val="00924B90"/>
    <w:rsid w:val="009501A5"/>
    <w:rsid w:val="009D2F80"/>
    <w:rsid w:val="00A97FEF"/>
    <w:rsid w:val="00CE77D4"/>
    <w:rsid w:val="00D03E0C"/>
    <w:rsid w:val="00E7272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76C4"/>
  <w15:chartTrackingRefBased/>
  <w15:docId w15:val="{A7150827-E671-4801-B077-1CF797E3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1">
    <w:name w:val="Plain Table 11"/>
    <w:basedOn w:val="TableNormal"/>
    <w:uiPriority w:val="41"/>
    <w:rsid w:val="002F61E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76BA7"/>
    <w:rPr>
      <w:sz w:val="16"/>
      <w:szCs w:val="16"/>
    </w:rPr>
  </w:style>
  <w:style w:type="paragraph" w:styleId="CommentText">
    <w:name w:val="annotation text"/>
    <w:basedOn w:val="Normal"/>
    <w:link w:val="CommentTextChar"/>
    <w:uiPriority w:val="99"/>
    <w:semiHidden/>
    <w:unhideWhenUsed/>
    <w:rsid w:val="00676BA7"/>
    <w:pPr>
      <w:spacing w:line="240" w:lineRule="auto"/>
    </w:pPr>
    <w:rPr>
      <w:sz w:val="20"/>
      <w:szCs w:val="20"/>
    </w:rPr>
  </w:style>
  <w:style w:type="character" w:customStyle="1" w:styleId="CommentTextChar">
    <w:name w:val="Comment Text Char"/>
    <w:basedOn w:val="DefaultParagraphFont"/>
    <w:link w:val="CommentText"/>
    <w:uiPriority w:val="99"/>
    <w:semiHidden/>
    <w:rsid w:val="00676BA7"/>
    <w:rPr>
      <w:sz w:val="20"/>
      <w:szCs w:val="20"/>
    </w:rPr>
  </w:style>
  <w:style w:type="paragraph" w:styleId="CommentSubject">
    <w:name w:val="annotation subject"/>
    <w:basedOn w:val="CommentText"/>
    <w:next w:val="CommentText"/>
    <w:link w:val="CommentSubjectChar"/>
    <w:uiPriority w:val="99"/>
    <w:semiHidden/>
    <w:unhideWhenUsed/>
    <w:rsid w:val="00676BA7"/>
    <w:rPr>
      <w:b/>
      <w:bCs/>
    </w:rPr>
  </w:style>
  <w:style w:type="character" w:customStyle="1" w:styleId="CommentSubjectChar">
    <w:name w:val="Comment Subject Char"/>
    <w:basedOn w:val="CommentTextChar"/>
    <w:link w:val="CommentSubject"/>
    <w:uiPriority w:val="99"/>
    <w:semiHidden/>
    <w:rsid w:val="00676BA7"/>
    <w:rPr>
      <w:b/>
      <w:bCs/>
      <w:sz w:val="20"/>
      <w:szCs w:val="20"/>
    </w:rPr>
  </w:style>
  <w:style w:type="paragraph" w:styleId="BalloonText">
    <w:name w:val="Balloon Text"/>
    <w:basedOn w:val="Normal"/>
    <w:link w:val="BalloonTextChar"/>
    <w:uiPriority w:val="99"/>
    <w:semiHidden/>
    <w:unhideWhenUsed/>
    <w:rsid w:val="004855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5E7"/>
    <w:rPr>
      <w:rFonts w:ascii="Segoe UI" w:hAnsi="Segoe UI" w:cs="Segoe UI"/>
      <w:sz w:val="18"/>
      <w:szCs w:val="18"/>
    </w:rPr>
  </w:style>
  <w:style w:type="table" w:styleId="PlainTable4">
    <w:name w:val="Plain Table 4"/>
    <w:basedOn w:val="TableNormal"/>
    <w:uiPriority w:val="44"/>
    <w:rsid w:val="004855E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E727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905EE3CAFD94EB5BBB26556F56320" ma:contentTypeVersion="12" ma:contentTypeDescription="Create a new document." ma:contentTypeScope="" ma:versionID="d122ae81b36535dad3c8cd78d45e9685">
  <xsd:schema xmlns:xsd="http://www.w3.org/2001/XMLSchema" xmlns:xs="http://www.w3.org/2001/XMLSchema" xmlns:p="http://schemas.microsoft.com/office/2006/metadata/properties" xmlns:ns3="42c060d6-5e73-43b3-8e14-2a59a9a3ec4c" xmlns:ns4="2e678067-11ca-4e3e-ac6b-0dea148d5db1" targetNamespace="http://schemas.microsoft.com/office/2006/metadata/properties" ma:root="true" ma:fieldsID="4c7f67c6c623174059c778b0dfd42263" ns3:_="" ns4:_="">
    <xsd:import namespace="42c060d6-5e73-43b3-8e14-2a59a9a3ec4c"/>
    <xsd:import namespace="2e678067-11ca-4e3e-ac6b-0dea148d5d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060d6-5e73-43b3-8e14-2a59a9a3e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78067-11ca-4e3e-ac6b-0dea148d5d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59CAD4-E92D-4EAB-8B6E-E27F9CD18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060d6-5e73-43b3-8e14-2a59a9a3ec4c"/>
    <ds:schemaRef ds:uri="2e678067-11ca-4e3e-ac6b-0dea148d5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EEA55-9552-4466-9B7B-AE7FC1FCDB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95CE3D-4EDF-46BD-9ACF-FBAB21B74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Wasef</dc:creator>
  <cp:keywords/>
  <dc:description/>
  <cp:lastModifiedBy>Sara Wasef</cp:lastModifiedBy>
  <cp:revision>10</cp:revision>
  <dcterms:created xsi:type="dcterms:W3CDTF">2021-03-02T06:18:00Z</dcterms:created>
  <dcterms:modified xsi:type="dcterms:W3CDTF">2021-07-22T20:52:00Z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0x0101005DD905EE3CAFD94EB5BBB26556F56320</vt:lpwstr>
  </property>
</Properties>
</file>