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127" w:rsidRDefault="007A2127" w:rsidP="007A2127">
      <w:pPr>
        <w:shd w:val="clear" w:color="auto" w:fill="FFFFFF"/>
        <w:spacing w:before="100" w:beforeAutospacing="1" w:after="100" w:afterAutospacing="1" w:line="360" w:lineRule="auto"/>
        <w:ind w:left="360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val="en-GB" w:eastAsia="sv-SE"/>
        </w:rPr>
      </w:pPr>
    </w:p>
    <w:p w:rsidR="007A2127" w:rsidRPr="00A6642A" w:rsidRDefault="003F402D" w:rsidP="007A2127">
      <w:pPr>
        <w:shd w:val="clear" w:color="auto" w:fill="FFFFFF"/>
        <w:spacing w:before="100" w:beforeAutospacing="1" w:after="100" w:afterAutospacing="1" w:line="360" w:lineRule="auto"/>
        <w:ind w:left="360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  <w:lang w:val="en-GB" w:eastAsia="sv-SE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GB" w:eastAsia="sv-SE"/>
        </w:rPr>
        <w:t>Appendix</w:t>
      </w:r>
      <w:r w:rsidR="007A2127" w:rsidRPr="00322AC9">
        <w:rPr>
          <w:rFonts w:ascii="Times New Roman" w:eastAsia="Times New Roman" w:hAnsi="Times New Roman" w:cs="Times New Roman"/>
          <w:b/>
          <w:noProof/>
          <w:sz w:val="24"/>
          <w:szCs w:val="24"/>
          <w:lang w:val="en-GB" w:eastAsia="sv-SE"/>
        </w:rPr>
        <w:t xml:space="preserve"> 1</w:t>
      </w:r>
      <w:bookmarkStart w:id="0" w:name="_GoBack"/>
      <w:bookmarkEnd w:id="0"/>
    </w:p>
    <w:p w:rsidR="007A2127" w:rsidRPr="00A6642A" w:rsidRDefault="007A2127" w:rsidP="007A2127">
      <w:pPr>
        <w:shd w:val="clear" w:color="auto" w:fill="FFFFFF"/>
        <w:spacing w:before="100" w:beforeAutospacing="1" w:after="100" w:afterAutospacing="1" w:line="360" w:lineRule="auto"/>
        <w:ind w:left="360"/>
        <w:textAlignment w:val="baseline"/>
        <w:rPr>
          <w:rFonts w:ascii="Times New Roman" w:eastAsia="Times New Roman" w:hAnsi="Times New Roman" w:cs="Times New Roman"/>
          <w:b/>
          <w:noProof/>
          <w:sz w:val="24"/>
          <w:szCs w:val="24"/>
          <w:lang w:val="en-GB" w:eastAsia="sv-S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sv-SE"/>
        </w:rPr>
        <w:t>Equianalgesic conversion ratios. Oxycodone administered to patients in PACU and/or step-down unit and/or consumed by patients after dischar</w:t>
      </w:r>
      <w:r w:rsidR="00753DA1">
        <w:rPr>
          <w:rFonts w:ascii="Times New Roman" w:eastAsia="Times New Roman" w:hAnsi="Times New Roman" w:cs="Times New Roman"/>
          <w:noProof/>
          <w:sz w:val="24"/>
          <w:szCs w:val="24"/>
          <w:lang w:val="en-GB" w:eastAsia="sv-SE"/>
        </w:rPr>
        <w:t xml:space="preserve">ge within the first three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sv-SE"/>
        </w:rPr>
        <w:t>postoperative days were converted into mg of peroral (p.o.) Morphine.</w:t>
      </w:r>
      <w:r w:rsidRPr="00014987">
        <w:rPr>
          <w:rFonts w:ascii="Times New Roman" w:eastAsia="Times New Roman" w:hAnsi="Times New Roman" w:cs="Times New Roman"/>
          <w:noProof/>
          <w:sz w:val="24"/>
          <w:szCs w:val="24"/>
          <w:lang w:val="en-GB" w:eastAsia="sv-SE"/>
        </w:rPr>
        <w:t xml:space="preserve"> </w:t>
      </w:r>
      <w:r w:rsidRPr="00014987">
        <w:rPr>
          <w:rFonts w:ascii="Times New Roman" w:eastAsia="Times New Roman" w:hAnsi="Times New Roman" w:cs="Times New Roman"/>
          <w:i/>
          <w:noProof/>
          <w:sz w:val="24"/>
          <w:szCs w:val="24"/>
          <w:lang w:val="en-GB" w:eastAsia="sv-SE"/>
        </w:rPr>
        <w:t>i.v.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en-GB" w:eastAsia="sv-SE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sv-SE"/>
        </w:rPr>
        <w:t>intravenous.</w:t>
      </w:r>
    </w:p>
    <w:tbl>
      <w:tblPr>
        <w:tblStyle w:val="Tabellrutnt"/>
        <w:tblW w:w="0" w:type="auto"/>
        <w:tblInd w:w="360" w:type="dxa"/>
        <w:tblLook w:val="04A0" w:firstRow="1" w:lastRow="0" w:firstColumn="1" w:lastColumn="0" w:noHBand="0" w:noVBand="1"/>
      </w:tblPr>
      <w:tblGrid>
        <w:gridCol w:w="4349"/>
        <w:gridCol w:w="4353"/>
      </w:tblGrid>
      <w:tr w:rsidR="007A2127" w:rsidRPr="003F402D" w:rsidTr="006A67DC">
        <w:tc>
          <w:tcPr>
            <w:tcW w:w="4349" w:type="dxa"/>
          </w:tcPr>
          <w:p w:rsidR="007A2127" w:rsidRPr="00322AC9" w:rsidRDefault="007A2127" w:rsidP="006A67DC">
            <w:pPr>
              <w:spacing w:before="100" w:beforeAutospacing="1" w:after="100" w:afterAutospacing="1"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GB" w:eastAsia="sv-SE"/>
              </w:rPr>
            </w:pPr>
            <w:r w:rsidRPr="00322AC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GB" w:eastAsia="sv-SE"/>
              </w:rPr>
              <w:t>Type of opioid consumed</w:t>
            </w:r>
          </w:p>
        </w:tc>
        <w:tc>
          <w:tcPr>
            <w:tcW w:w="4353" w:type="dxa"/>
          </w:tcPr>
          <w:p w:rsidR="007A2127" w:rsidRPr="00322AC9" w:rsidRDefault="007A2127" w:rsidP="006A67DC">
            <w:pPr>
              <w:spacing w:before="100" w:beforeAutospacing="1" w:after="100" w:afterAutospacing="1"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GB" w:eastAsia="sv-SE"/>
              </w:rPr>
            </w:pPr>
            <w:r w:rsidRPr="00322AC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GB" w:eastAsia="sv-SE"/>
              </w:rPr>
              <w:t>Conversion ratio to p.o. Morphine</w:t>
            </w:r>
          </w:p>
        </w:tc>
      </w:tr>
      <w:tr w:rsidR="007A2127" w:rsidTr="006A67DC">
        <w:tc>
          <w:tcPr>
            <w:tcW w:w="4349" w:type="dxa"/>
          </w:tcPr>
          <w:p w:rsidR="007A2127" w:rsidRDefault="007A2127" w:rsidP="006A67DC">
            <w:pPr>
              <w:spacing w:before="100" w:beforeAutospacing="1" w:after="100" w:afterAutospacing="1" w:line="360" w:lineRule="auto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GB" w:eastAsia="sv-SE"/>
              </w:rPr>
              <w:t>Oxycodone i.v.</w:t>
            </w:r>
          </w:p>
        </w:tc>
        <w:tc>
          <w:tcPr>
            <w:tcW w:w="4353" w:type="dxa"/>
          </w:tcPr>
          <w:p w:rsidR="007A2127" w:rsidRDefault="007A2127" w:rsidP="006A67DC">
            <w:pPr>
              <w:spacing w:before="100" w:beforeAutospacing="1" w:after="100" w:afterAutospacing="1" w:line="360" w:lineRule="auto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GB" w:eastAsia="sv-SE"/>
              </w:rPr>
              <w:t>1:3</w:t>
            </w:r>
          </w:p>
        </w:tc>
      </w:tr>
      <w:tr w:rsidR="007A2127" w:rsidTr="006A67DC">
        <w:tc>
          <w:tcPr>
            <w:tcW w:w="4349" w:type="dxa"/>
          </w:tcPr>
          <w:p w:rsidR="007A2127" w:rsidRDefault="007A2127" w:rsidP="006A67DC">
            <w:pPr>
              <w:spacing w:before="100" w:beforeAutospacing="1" w:after="100" w:afterAutospacing="1" w:line="360" w:lineRule="auto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GB" w:eastAsia="sv-SE"/>
              </w:rPr>
              <w:t>Oxycodone p.o.</w:t>
            </w:r>
          </w:p>
        </w:tc>
        <w:tc>
          <w:tcPr>
            <w:tcW w:w="4353" w:type="dxa"/>
          </w:tcPr>
          <w:p w:rsidR="007A2127" w:rsidRDefault="007A2127" w:rsidP="006A67DC">
            <w:pPr>
              <w:spacing w:before="100" w:beforeAutospacing="1" w:after="100" w:afterAutospacing="1" w:line="360" w:lineRule="auto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GB" w:eastAsia="sv-SE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GB" w:eastAsia="sv-SE"/>
              </w:rPr>
              <w:t>1:2</w:t>
            </w:r>
          </w:p>
        </w:tc>
      </w:tr>
    </w:tbl>
    <w:p w:rsidR="00F46FD8" w:rsidRDefault="00F46FD8"/>
    <w:sectPr w:rsidR="00F46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127"/>
    <w:rsid w:val="003F402D"/>
    <w:rsid w:val="00753DA1"/>
    <w:rsid w:val="007A2127"/>
    <w:rsid w:val="00F4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CDA76"/>
  <w15:chartTrackingRefBased/>
  <w15:docId w15:val="{7C5F0DB6-EB6C-463D-AC7F-1211E0DF4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12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7A2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308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3</cp:revision>
  <dcterms:created xsi:type="dcterms:W3CDTF">2020-11-03T10:48:00Z</dcterms:created>
  <dcterms:modified xsi:type="dcterms:W3CDTF">2021-01-14T11:28:00Z</dcterms:modified>
</cp:coreProperties>
</file>