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line="480" w:lineRule="auto"/>
        <w:rPr>
          <w:rFonts w:ascii="Helvetica" w:cs="Helvetica" w:hAnsi="Helvetica" w:eastAsia="Helvetica"/>
          <w:b w:val="1"/>
          <w:bCs w:val="1"/>
          <w:sz w:val="24"/>
          <w:szCs w:val="24"/>
        </w:rPr>
      </w:pP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Table E1. Driving pressures (cmH</w:t>
      </w:r>
      <w:r>
        <w:rPr>
          <w:rFonts w:ascii="Helvetica" w:hAnsi="Helvetica"/>
          <w:b w:val="1"/>
          <w:bCs w:val="1"/>
          <w:sz w:val="24"/>
          <w:szCs w:val="24"/>
          <w:vertAlign w:val="subscript"/>
          <w:rtl w:val="0"/>
          <w:lang w:val="en-US"/>
        </w:rPr>
        <w:t>2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 xml:space="preserve">O) at 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  <w:lang w:val="en-US"/>
        </w:rPr>
        <w:t>«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optimum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  <w:lang w:val="en-US"/>
        </w:rPr>
        <w:t xml:space="preserve">» 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 xml:space="preserve">PEEP and the set tidal volume, during 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  <w:lang w:val="en-US"/>
        </w:rPr>
        <w:t>«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PEEP trial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  <w:lang w:val="en-US"/>
        </w:rPr>
        <w:t xml:space="preserve">» 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 xml:space="preserve">and 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  <w:lang w:val="en-US"/>
        </w:rPr>
        <w:t>«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volume trial</w:t>
      </w:r>
      <w:r>
        <w:rPr>
          <w:rFonts w:ascii="Helvetica" w:hAnsi="Helvetica" w:hint="default"/>
          <w:b w:val="1"/>
          <w:bCs w:val="1"/>
          <w:sz w:val="24"/>
          <w:szCs w:val="24"/>
          <w:rtl w:val="0"/>
          <w:lang w:val="en-US"/>
        </w:rPr>
        <w:t xml:space="preserve">» </w:t>
      </w:r>
      <w:r>
        <w:rPr>
          <w:rFonts w:ascii="Helvetica" w:hAnsi="Helvetica"/>
          <w:b w:val="1"/>
          <w:bCs w:val="1"/>
          <w:sz w:val="24"/>
          <w:szCs w:val="24"/>
          <w:rtl w:val="0"/>
          <w:lang w:val="en-US"/>
        </w:rPr>
        <w:t>during mechanical ventilation course</w:t>
      </w:r>
    </w:p>
    <w:tbl>
      <w:tblPr>
        <w:tblW w:w="849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623"/>
        <w:gridCol w:w="278"/>
        <w:gridCol w:w="884"/>
        <w:gridCol w:w="903"/>
        <w:gridCol w:w="899"/>
        <w:gridCol w:w="1048"/>
        <w:gridCol w:w="1072"/>
        <w:gridCol w:w="1102"/>
        <w:gridCol w:w="1688"/>
      </w:tblGrid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en-US"/>
              </w:rPr>
              <w:t xml:space="preserve">PEEP </w:t>
            </w:r>
          </w:p>
          <w:p>
            <w:pPr>
              <w:pStyle w:val="Стиль таблицы 2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8 cm H</w:t>
            </w:r>
            <w:r>
              <w:rPr>
                <w:b w:val="1"/>
                <w:bCs w:val="1"/>
                <w:vertAlign w:val="subscript"/>
                <w:rtl w:val="0"/>
                <w:lang w:val="en-US"/>
              </w:rPr>
              <w:t>2</w:t>
            </w:r>
            <w:r>
              <w:rPr>
                <w:b w:val="1"/>
                <w:bCs w:val="1"/>
                <w:rtl w:val="0"/>
                <w:lang w:val="en-US"/>
              </w:rPr>
              <w:t>O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en-US"/>
              </w:rPr>
              <w:t xml:space="preserve">PEEP </w:t>
            </w:r>
          </w:p>
          <w:p>
            <w:pPr>
              <w:pStyle w:val="Стиль таблицы 2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10 cm H</w:t>
            </w:r>
            <w:r>
              <w:rPr>
                <w:b w:val="1"/>
                <w:bCs w:val="1"/>
                <w:vertAlign w:val="subscript"/>
                <w:rtl w:val="0"/>
                <w:lang w:val="en-US"/>
              </w:rPr>
              <w:t>2</w:t>
            </w:r>
            <w:r>
              <w:rPr>
                <w:b w:val="1"/>
                <w:bCs w:val="1"/>
                <w:rtl w:val="0"/>
                <w:lang w:val="en-US"/>
              </w:rPr>
              <w:t>O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en-US"/>
              </w:rPr>
              <w:t xml:space="preserve">PEEP </w:t>
            </w:r>
          </w:p>
          <w:p>
            <w:pPr>
              <w:pStyle w:val="Стиль таблицы 2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12 cm H</w:t>
            </w:r>
            <w:r>
              <w:rPr>
                <w:b w:val="1"/>
                <w:bCs w:val="1"/>
                <w:vertAlign w:val="subscript"/>
                <w:rtl w:val="0"/>
                <w:lang w:val="en-US"/>
              </w:rPr>
              <w:t>2</w:t>
            </w:r>
            <w:r>
              <w:rPr>
                <w:b w:val="1"/>
                <w:bCs w:val="1"/>
                <w:rtl w:val="0"/>
                <w:lang w:val="en-US"/>
              </w:rPr>
              <w:t>O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en-US"/>
              </w:rPr>
              <w:t xml:space="preserve">PEEP </w:t>
            </w:r>
          </w:p>
          <w:p>
            <w:pPr>
              <w:pStyle w:val="Стиль таблицы 2"/>
              <w:jc w:val="center"/>
            </w:pPr>
            <w:r>
              <w:rPr>
                <w:b w:val="1"/>
                <w:bCs w:val="1"/>
                <w:rtl w:val="0"/>
                <w:lang w:val="en-US"/>
              </w:rPr>
              <w:t>14 cm H</w:t>
            </w:r>
            <w:r>
              <w:rPr>
                <w:b w:val="1"/>
                <w:bCs w:val="1"/>
                <w:vertAlign w:val="subscript"/>
                <w:rtl w:val="0"/>
                <w:lang w:val="en-US"/>
              </w:rPr>
              <w:t>2</w:t>
            </w:r>
            <w:r>
              <w:rPr>
                <w:b w:val="1"/>
                <w:bCs w:val="1"/>
                <w:rtl w:val="0"/>
                <w:lang w:val="en-US"/>
              </w:rPr>
              <w:t>O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«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Optimum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»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PEEP and VT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VT +100 ml</w:t>
            </w:r>
          </w:p>
          <w:p>
            <w:pPr>
              <w:pStyle w:val="Стиль таблицы 2"/>
              <w:jc w:val="center"/>
            </w:pP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VT +200 ml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Day 1</w:t>
            </w:r>
          </w:p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15.0 [12.0-16.5]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14.0 [11.5-15.0]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13.0 [12.0-16.5]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15.0 [12.5-19.0]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13.0 [11.5-15.0]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[15.0-19.0]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23.0 [20.0-28.0]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NS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[14.0-20.0]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16.0 [13.0-20.0]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16.0 [13.0-21.0]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18.0 [14.0-24.0]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15.0 [12.0-20.0]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20.0 [16.0-27.0]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27.0 [21.0-37.0]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Day 3</w:t>
            </w:r>
          </w:p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15.0 [12.0-16.5]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14.0 [12.0-15.5]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15.0 [12.0-17.0]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16.0 [14.0-19.0]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14.0 [12.5-15.0]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18.0 [16.5-19.0]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24.0 [20.5-25.5] *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NS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15.0 [13.0-20.0]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15.0 [12.0-19.0]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16.0 [13.0-21.0]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[14.0-21.0]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14.5 [12.0-19.0]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20.0 [16.0-25.0]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26.5 [22.0-35.0]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Day 5</w:t>
            </w:r>
          </w:p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12.5 [12.0-14.8] *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 xml:space="preserve">12.5 [12.0-13.8] * 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13.0 [12.0-15.0] *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15.5 [13.3-17.0] *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13.0 [10.5-15.0] *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[14.3-19.0] *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24.0 [20.0-27.8] *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NS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16.0 [13.0-20.0]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[13.0-20.5]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[13.0-22.0]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19.0 [15.0-24.0]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 xml:space="preserve">16.0 [13.0-20.0] 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21.0 [16.3-26.0]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30.5 [23.0-37.8]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Day 7</w:t>
            </w:r>
          </w:p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12.5 [10.5-14.0] *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13.0 [10.3-13.5] *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14.0 [10.5-17.3] *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16.5 [13.3-18.5] *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12.5 [10.3-14.8] *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[14.3-18.8] *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22.5 [20.0-28.3] *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NS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16.0 [13.0-19.5]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16.0 [13.0-21.0]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[14.5-22.5]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19.0 [15.5-23.5]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[13.5-20.5]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22.0 [18.0-29.0]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30.0 [26.0-41.5]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Day 10</w:t>
            </w:r>
          </w:p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13.5 [11.0-16.5] *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13.5 [11.0-16.0] *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15.0 [12.3-18.0] *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16.5 [14.0-19.8] *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13.5 [11.0-15.8] *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[15.0-21.8] *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23.0 [20.0-30.8] *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NS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[15.0-18.8]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[15.0-20.0]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19.0 [17.0-23.0]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20.0 [17.3-24.8]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17.5 [15.0-20.0]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22.0 [19.3-29.3]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33.0 [26.0-38.5]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Day 14</w:t>
            </w:r>
          </w:p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15.5 [11.5-18.5]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16.5 [11.5-21.0]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17.5 [12.5-23.8]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19.0 [13.3-27.8] *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16.0 [11.5-17.5]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19.0 [14.8-24.3]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25.5 [19.8-34.5]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NS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18.0 [13.5-23.0]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18.0 [12.5-25.0]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23.0 [15.0-31.0]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23.0 [16.5-32.5]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[13.0-27.5]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27.0 [18.0-36.0]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36.0 [25.0-54.5]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Day 21</w:t>
            </w:r>
          </w:p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17.0 [12.0-24.0]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26.0 [12.0-26.0]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24.0 [13.0-24.0]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16.0 [15.0-16.0]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16.5 [13.0-22.3]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18.0 [16.0-18.0]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24.0 [20.0-24.0]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NS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18.5 [12.5-25.8]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19.0 [11.8-29.3]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28.5 [17.3-36.0]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23.5 [11.5-41.5]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18.0 [11.8-25.8]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26.5 [15.5-48.8]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37.0 [21.8-74.0]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Day 28</w:t>
            </w:r>
          </w:p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19.0 [17.0-24.0]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20.0 [17.0-20.0]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20.5 [19.0-20.5]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21.0 [20.0-21.0]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19.0 [17.0-19.0]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27.0 [24.0-27.0]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37.0 [20.0-37.0]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23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</w:tcPr>
          <w:p/>
        </w:tc>
        <w:tc>
          <w:tcPr>
            <w:tcW w:type="dxa" w:w="27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NS</w:t>
            </w:r>
          </w:p>
        </w:tc>
        <w:tc>
          <w:tcPr>
            <w:tcW w:type="dxa" w:w="8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38.0 [22.0-38.0]</w:t>
            </w:r>
          </w:p>
        </w:tc>
        <w:tc>
          <w:tcPr>
            <w:tcW w:type="dxa" w:w="90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37.0 [24.0-37.0]</w:t>
            </w:r>
          </w:p>
        </w:tc>
        <w:tc>
          <w:tcPr>
            <w:tcW w:type="dxa" w:w="8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42.5 [27.0-42.5]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48.0 [31.0-48.0]</w:t>
            </w:r>
          </w:p>
        </w:tc>
        <w:tc>
          <w:tcPr>
            <w:tcW w:type="dxa" w:w="107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30.0 [22.0-30.0]</w:t>
            </w:r>
          </w:p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45.0 [36.0-45.0]</w:t>
            </w:r>
          </w:p>
        </w:tc>
        <w:tc>
          <w:tcPr>
            <w:tcW w:type="dxa" w:w="168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Helvetica Neue" w:hAnsi="Helvetica Neue"/>
                <w:rtl w:val="0"/>
              </w:rPr>
              <w:t>68.5 [52.0-68.5]</w:t>
            </w:r>
          </w:p>
        </w:tc>
      </w:tr>
    </w:tbl>
    <w:p>
      <w:pPr>
        <w:pStyle w:val="Основной текст"/>
        <w:bidi w:val="0"/>
      </w:pPr>
    </w:p>
    <w:p>
      <w:pPr>
        <w:pStyle w:val="Основной текст"/>
        <w:spacing w:line="480" w:lineRule="auto"/>
      </w:pPr>
    </w:p>
    <w:p>
      <w:pPr>
        <w:pStyle w:val="Основной текст"/>
        <w:spacing w:line="480" w:lineRule="auto"/>
      </w:pPr>
      <w:r>
        <w:rPr>
          <w:rtl w:val="0"/>
          <w:lang w:val="en-US"/>
        </w:rPr>
        <w:t xml:space="preserve">Data presented as medians [interquartile range]. </w:t>
      </w:r>
      <w:r>
        <w:rPr>
          <w:rtl w:val="0"/>
          <w:lang w:val="en-US"/>
        </w:rPr>
        <w:t xml:space="preserve">Differences between groups </w:t>
      </w:r>
      <w:r>
        <w:rPr>
          <w:rtl w:val="0"/>
          <w:lang w:val="en-US"/>
        </w:rPr>
        <w:t xml:space="preserve">by Mann-Whitney </w:t>
      </w:r>
      <w:r>
        <w:rPr>
          <w:rtl w:val="0"/>
          <w:lang w:val="de-DE"/>
        </w:rPr>
        <w:t>U-test</w:t>
      </w:r>
      <w:r>
        <w:rPr>
          <w:rtl w:val="0"/>
          <w:lang w:val="en-US"/>
        </w:rPr>
        <w:t>.</w:t>
      </w:r>
    </w:p>
    <w:p>
      <w:pPr>
        <w:pStyle w:val="Основной текст"/>
        <w:spacing w:line="480" w:lineRule="auto"/>
      </w:pPr>
      <w:r>
        <w:rPr>
          <w:b w:val="1"/>
          <w:bCs w:val="1"/>
          <w:rtl w:val="0"/>
          <w:lang w:val="en-US"/>
        </w:rPr>
        <w:t>Abbreviations:</w:t>
      </w:r>
      <w:r>
        <w:rPr>
          <w:rtl w:val="0"/>
          <w:lang w:val="en-US"/>
        </w:rPr>
        <w:t xml:space="preserve"> S: Survivors; NS: Non-Survivors;  </w:t>
      </w:r>
      <w:r>
        <w:rPr>
          <w:rtl w:val="0"/>
        </w:rPr>
        <w:t>PEEP</w:t>
      </w:r>
      <w:r>
        <w:rPr>
          <w:rtl w:val="0"/>
          <w:lang w:val="en-US"/>
        </w:rPr>
        <w:t>: positive end-expiratory pressure; VT: tidal volume.</w:t>
      </w:r>
    </w:p>
    <w:p>
      <w:pPr>
        <w:pStyle w:val="Основной текст"/>
        <w:spacing w:line="480" w:lineRule="auto"/>
      </w:pPr>
      <w:r>
        <w:rPr>
          <w:rtl w:val="0"/>
          <w:lang w:val="en-US"/>
        </w:rPr>
        <w:t>*   p-value &lt; 0.05, comparison between survivors and non-survivors.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