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Additional file 2</w:t>
      </w:r>
      <w:r>
        <w:rPr>
          <w:rFonts w:hint="eastAsia"/>
          <w:color w:val="000000"/>
          <w:sz w:val="24"/>
          <w:szCs w:val="24"/>
        </w:rPr>
        <w:t xml:space="preserve"> Sensitivity analysis after excluding patients&lt;60 years</w:t>
      </w:r>
    </w:p>
    <w:tbl>
      <w:tblPr>
        <w:tblStyle w:val="5"/>
        <w:tblW w:w="1132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888"/>
        <w:gridCol w:w="1306"/>
        <w:gridCol w:w="797"/>
        <w:gridCol w:w="245"/>
        <w:gridCol w:w="889"/>
        <w:gridCol w:w="1297"/>
        <w:gridCol w:w="797"/>
        <w:gridCol w:w="245"/>
        <w:gridCol w:w="889"/>
        <w:gridCol w:w="1297"/>
        <w:gridCol w:w="79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357" w:hRule="atLeast"/>
        </w:trPr>
        <w:tc>
          <w:tcPr>
            <w:tcW w:w="0" w:type="auto"/>
            <w:vMerge w:val="restart"/>
            <w:tcBorders>
              <w:top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  <w:lang w:bidi="ar"/>
              </w:rPr>
              <w:t>Variable</w:t>
            </w:r>
          </w:p>
        </w:tc>
        <w:tc>
          <w:tcPr>
            <w:tcW w:w="0" w:type="auto"/>
            <w:gridSpan w:val="3"/>
            <w:tcBorders>
              <w:top w:val="single" w:color="auto" w:sz="8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model I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model II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color="auto" w:sz="8" w:space="0"/>
              <w:left w:val="nil"/>
              <w:right w:val="nil"/>
            </w:tcBorders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model III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0" w:type="auto"/>
            <w:vMerge w:val="continue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HR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95%CI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iCs/>
                <w:color w:val="000000"/>
                <w:sz w:val="18"/>
                <w:szCs w:val="18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color w:val="000000"/>
                <w:sz w:val="18"/>
                <w:szCs w:val="18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i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HR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95%CI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0" w:type="auto"/>
            <w:tcBorders>
              <w:top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Low B/A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 xml:space="preserve"> (n=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2,998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)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High B/A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 xml:space="preserve"> (n=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3,764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 (</w:t>
            </w:r>
            <w:r>
              <w:rPr>
                <w:sz w:val="18"/>
                <w:szCs w:val="18"/>
              </w:rPr>
              <w:t>ref)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1.958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1.728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-</w:t>
            </w:r>
            <w:r>
              <w:t xml:space="preserve"> </w:t>
            </w:r>
            <w:r>
              <w:rPr>
                <w:color w:val="000000"/>
                <w:sz w:val="18"/>
                <w:szCs w:val="18"/>
              </w:rPr>
              <w:t>2.21</w:t>
            </w: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 (</w:t>
            </w:r>
            <w:r>
              <w:rPr>
                <w:sz w:val="18"/>
                <w:szCs w:val="18"/>
              </w:rPr>
              <w:t>ref)</w:t>
            </w:r>
          </w:p>
          <w:p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1.365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-</w:t>
            </w:r>
            <w:r>
              <w:rPr>
                <w:color w:val="000000"/>
                <w:sz w:val="18"/>
                <w:szCs w:val="18"/>
              </w:rPr>
              <w:t xml:space="preserve"> 1.774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 (</w:t>
            </w:r>
            <w:r>
              <w:rPr>
                <w:sz w:val="18"/>
                <w:szCs w:val="18"/>
              </w:rPr>
              <w:t>ref)</w:t>
            </w:r>
          </w:p>
          <w:p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</w:t>
            </w:r>
            <w:r>
              <w:rPr>
                <w:rFonts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1.265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-</w:t>
            </w:r>
            <w:r>
              <w:rPr>
                <w:color w:val="000000"/>
                <w:sz w:val="18"/>
                <w:szCs w:val="18"/>
              </w:rPr>
              <w:t xml:space="preserve"> 1.684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&lt;0.001</w:t>
            </w:r>
          </w:p>
        </w:tc>
      </w:tr>
    </w:tbl>
    <w:p>
      <w:pPr>
        <w:rPr>
          <w:color w:val="000000"/>
          <w:sz w:val="22"/>
          <w:szCs w:val="24"/>
        </w:rPr>
      </w:pPr>
      <w:r>
        <w:rPr>
          <w:rFonts w:hint="eastAsia"/>
          <w:color w:val="000000"/>
          <w:sz w:val="22"/>
          <w:szCs w:val="24"/>
        </w:rPr>
        <w:t>Model I adjusted for nothing.</w:t>
      </w:r>
    </w:p>
    <w:p>
      <w:pPr>
        <w:rPr>
          <w:color w:val="000000"/>
          <w:sz w:val="22"/>
          <w:szCs w:val="24"/>
        </w:rPr>
      </w:pPr>
      <w:r>
        <w:rPr>
          <w:rFonts w:hint="eastAsia"/>
          <w:color w:val="000000"/>
          <w:sz w:val="22"/>
          <w:szCs w:val="24"/>
        </w:rPr>
        <w:t>Model II adjusted for SOFA score.</w:t>
      </w:r>
    </w:p>
    <w:p>
      <w:pPr>
        <w:rPr>
          <w:color w:val="000000"/>
          <w:sz w:val="22"/>
          <w:szCs w:val="24"/>
        </w:rPr>
      </w:pPr>
      <w:r>
        <w:rPr>
          <w:rFonts w:hint="eastAsia"/>
          <w:color w:val="000000"/>
          <w:sz w:val="22"/>
          <w:szCs w:val="24"/>
        </w:rPr>
        <w:t>Model III adjusted for SOFA score, anion gap, WBC, RDW, creatinine, glucose, K+, Mg2+, cerebral infarction, COPD, CHF, AMI, acute pancreatitis, hepatic failure and malignancy.</w:t>
      </w:r>
    </w:p>
    <w:p>
      <w:pPr>
        <w:rPr>
          <w:color w:val="000000"/>
          <w:sz w:val="22"/>
          <w:szCs w:val="24"/>
        </w:rPr>
      </w:pPr>
      <w:r>
        <w:rPr>
          <w:rFonts w:hint="eastAsia"/>
          <w:i/>
          <w:iCs/>
          <w:color w:val="000000"/>
          <w:sz w:val="22"/>
          <w:szCs w:val="24"/>
        </w:rPr>
        <w:t>HR</w:t>
      </w:r>
      <w:r>
        <w:rPr>
          <w:rFonts w:hint="eastAsia"/>
          <w:color w:val="000000"/>
          <w:sz w:val="22"/>
          <w:szCs w:val="24"/>
        </w:rPr>
        <w:t xml:space="preserve"> hazard ratio, 95% </w:t>
      </w:r>
      <w:r>
        <w:rPr>
          <w:rFonts w:hint="eastAsia"/>
          <w:i/>
          <w:iCs/>
          <w:color w:val="000000"/>
          <w:sz w:val="22"/>
          <w:szCs w:val="24"/>
        </w:rPr>
        <w:t>CI</w:t>
      </w:r>
      <w:r>
        <w:rPr>
          <w:rFonts w:hint="eastAsia"/>
          <w:color w:val="000000"/>
          <w:sz w:val="22"/>
          <w:szCs w:val="24"/>
        </w:rPr>
        <w:t xml:space="preserve"> 95% confidence interval, </w:t>
      </w:r>
      <w:r>
        <w:rPr>
          <w:rFonts w:hint="eastAsia"/>
          <w:i/>
          <w:iCs/>
          <w:color w:val="000000"/>
          <w:sz w:val="22"/>
          <w:szCs w:val="24"/>
        </w:rPr>
        <w:t>B/A</w:t>
      </w:r>
      <w:r>
        <w:rPr>
          <w:rFonts w:hint="eastAsia"/>
          <w:color w:val="000000"/>
          <w:sz w:val="22"/>
          <w:szCs w:val="24"/>
        </w:rPr>
        <w:t xml:space="preserve"> blood urea nitrogen to serum albumin ratio,</w:t>
      </w:r>
      <w:r>
        <w:rPr>
          <w:rFonts w:hint="eastAsia"/>
          <w:i/>
          <w:iCs/>
          <w:color w:val="000000"/>
          <w:sz w:val="22"/>
          <w:szCs w:val="24"/>
        </w:rPr>
        <w:t xml:space="preserve"> SOFA</w:t>
      </w:r>
      <w:r>
        <w:rPr>
          <w:rFonts w:hint="eastAsia"/>
          <w:color w:val="000000"/>
          <w:sz w:val="22"/>
          <w:szCs w:val="24"/>
        </w:rPr>
        <w:t xml:space="preserve"> sequential organ failure assessment, </w:t>
      </w:r>
      <w:r>
        <w:rPr>
          <w:rFonts w:hint="eastAsia"/>
          <w:i/>
          <w:iCs/>
          <w:color w:val="000000"/>
          <w:sz w:val="22"/>
          <w:szCs w:val="24"/>
        </w:rPr>
        <w:t>WBC</w:t>
      </w:r>
      <w:r>
        <w:rPr>
          <w:rFonts w:hint="eastAsia"/>
          <w:color w:val="000000"/>
          <w:sz w:val="22"/>
          <w:szCs w:val="24"/>
        </w:rPr>
        <w:t xml:space="preserve"> white blood cell, </w:t>
      </w:r>
      <w:r>
        <w:rPr>
          <w:rFonts w:hint="eastAsia"/>
          <w:i/>
          <w:iCs/>
          <w:color w:val="000000"/>
          <w:sz w:val="22"/>
          <w:szCs w:val="24"/>
        </w:rPr>
        <w:t>RDW</w:t>
      </w:r>
      <w:r>
        <w:rPr>
          <w:rFonts w:hint="eastAsia"/>
          <w:color w:val="000000"/>
          <w:sz w:val="22"/>
          <w:szCs w:val="24"/>
        </w:rPr>
        <w:t xml:space="preserve"> red blood cell distribution width, </w:t>
      </w:r>
      <w:r>
        <w:rPr>
          <w:rFonts w:hint="eastAsia"/>
          <w:i/>
          <w:iCs/>
          <w:color w:val="000000"/>
          <w:sz w:val="22"/>
          <w:szCs w:val="24"/>
        </w:rPr>
        <w:t xml:space="preserve">COPD </w:t>
      </w:r>
      <w:r>
        <w:rPr>
          <w:rFonts w:hint="eastAsia"/>
          <w:color w:val="000000"/>
          <w:sz w:val="22"/>
          <w:szCs w:val="24"/>
        </w:rPr>
        <w:t xml:space="preserve">chronic obstructive pulmonary disease, </w:t>
      </w:r>
      <w:r>
        <w:rPr>
          <w:rFonts w:hint="eastAsia"/>
          <w:i/>
          <w:iCs/>
          <w:color w:val="000000"/>
          <w:sz w:val="22"/>
          <w:szCs w:val="24"/>
        </w:rPr>
        <w:t xml:space="preserve">CHF </w:t>
      </w:r>
      <w:r>
        <w:rPr>
          <w:rFonts w:hint="eastAsia"/>
          <w:color w:val="000000"/>
          <w:sz w:val="22"/>
          <w:szCs w:val="24"/>
        </w:rPr>
        <w:t xml:space="preserve">congestive heart failure, </w:t>
      </w:r>
      <w:r>
        <w:rPr>
          <w:rFonts w:hint="eastAsia"/>
          <w:i/>
          <w:iCs/>
          <w:color w:val="000000"/>
          <w:sz w:val="22"/>
          <w:szCs w:val="24"/>
        </w:rPr>
        <w:t>AMI</w:t>
      </w:r>
      <w:r>
        <w:rPr>
          <w:rFonts w:hint="eastAsia"/>
          <w:color w:val="000000"/>
          <w:sz w:val="22"/>
          <w:szCs w:val="24"/>
        </w:rPr>
        <w:t xml:space="preserve"> acute myocardial infarction.</w:t>
      </w:r>
    </w:p>
    <w:p/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440" w:right="2880" w:bottom="1440" w:left="28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MDFjOGU2N2Y0OWQ1NzY0ZTBkNzY3NWFkNTBlMTUifQ=="/>
    <w:docVar w:name="KY_MEDREF_DOCUID" w:val="{CA42D9EC-0603-4720-A3F5-CA2D91514E72}"/>
    <w:docVar w:name="KY_MEDREF_VERSION" w:val="3"/>
  </w:docVars>
  <w:rsids>
    <w:rsidRoot w:val="7EE166E0"/>
    <w:rsid w:val="003B7A25"/>
    <w:rsid w:val="00CA3372"/>
    <w:rsid w:val="00DD09B0"/>
    <w:rsid w:val="034877EC"/>
    <w:rsid w:val="076F3C36"/>
    <w:rsid w:val="0B893935"/>
    <w:rsid w:val="1015353A"/>
    <w:rsid w:val="12911863"/>
    <w:rsid w:val="14307EBD"/>
    <w:rsid w:val="158D1CE7"/>
    <w:rsid w:val="17E1481F"/>
    <w:rsid w:val="193D690E"/>
    <w:rsid w:val="2094389F"/>
    <w:rsid w:val="244C0B8D"/>
    <w:rsid w:val="27BA6D78"/>
    <w:rsid w:val="2A5C6241"/>
    <w:rsid w:val="2F1106E2"/>
    <w:rsid w:val="32BB6DE3"/>
    <w:rsid w:val="35523A2F"/>
    <w:rsid w:val="38535BA1"/>
    <w:rsid w:val="3D107B23"/>
    <w:rsid w:val="3D621C35"/>
    <w:rsid w:val="43A229B8"/>
    <w:rsid w:val="452C67BA"/>
    <w:rsid w:val="49675177"/>
    <w:rsid w:val="49EE24CD"/>
    <w:rsid w:val="52C236F6"/>
    <w:rsid w:val="56152195"/>
    <w:rsid w:val="5AF768FE"/>
    <w:rsid w:val="5B573775"/>
    <w:rsid w:val="5BC2247D"/>
    <w:rsid w:val="602166A8"/>
    <w:rsid w:val="65175CAF"/>
    <w:rsid w:val="6A1925E3"/>
    <w:rsid w:val="6A9D7618"/>
    <w:rsid w:val="6B925C05"/>
    <w:rsid w:val="6E5E442F"/>
    <w:rsid w:val="6E63543D"/>
    <w:rsid w:val="6F377216"/>
    <w:rsid w:val="702218BB"/>
    <w:rsid w:val="712A6033"/>
    <w:rsid w:val="7CF502E5"/>
    <w:rsid w:val="7EE166E0"/>
    <w:rsid w:val="7FAD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qFormat="1"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customStyle="1" w:styleId="7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8">
    <w:name w:val="Supplementary Material"/>
    <w:basedOn w:val="4"/>
    <w:next w:val="4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724</Characters>
  <Lines>6</Lines>
  <Paragraphs>1</Paragraphs>
  <TotalTime>0</TotalTime>
  <ScaleCrop>false</ScaleCrop>
  <LinksUpToDate>false</LinksUpToDate>
  <CharactersWithSpaces>849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2022-05-26T06:07:00Z</dcterms:created>
  <dc:creator>WPS_1605793037</dc:creator>
  <cp:lastModifiedBy>WPS_1605793037</cp:lastModifiedBy>
  <dcterms:modified xsi:type="dcterms:W3CDTF">2022-11-24T02:25:42Z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D558471700D64089BBBAE91C921A5677</vt:lpwstr>
  </property>
</Properties>
</file>