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>TableS5</w:t>
      </w:r>
      <w:r>
        <w:rPr>
          <w:rFonts w:hint="default" w:ascii="Times New Roman" w:hAnsi="Times New Roman" w:cs="Times New Roman"/>
        </w:rPr>
        <w:t xml:space="preserve">: Relationship between post-match </w:t>
      </w:r>
      <w:r>
        <w:rPr>
          <w:rFonts w:hint="default" w:ascii="Times New Roman" w:hAnsi="Times New Roman" w:cs="Times New Roman"/>
          <w:lang w:val="en-US" w:eastAsia="zh-CN"/>
        </w:rPr>
        <w:t>and short-term death</w:t>
      </w:r>
    </w:p>
    <w:tbl>
      <w:tblPr>
        <w:tblStyle w:val="3"/>
        <w:tblW w:w="9679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79"/>
        <w:gridCol w:w="2008"/>
        <w:gridCol w:w="1463"/>
        <w:gridCol w:w="1721"/>
        <w:gridCol w:w="9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Exposure</w:t>
            </w:r>
          </w:p>
        </w:tc>
        <w:tc>
          <w:tcPr>
            <w:tcW w:w="3280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Nonadjusted</w:t>
            </w:r>
          </w:p>
        </w:tc>
        <w:tc>
          <w:tcPr>
            <w:tcW w:w="0" w:type="auto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 xml:space="preserve">adjust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HR(95%CI)</w:t>
            </w:r>
          </w:p>
        </w:tc>
        <w:tc>
          <w:tcPr>
            <w:tcW w:w="125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 xml:space="preserve"> value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HR(95%CI)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 xml:space="preserve">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MAP:(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&gt;</w:t>
            </w: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65 mmHg) vs (60-65 mmHg)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 xml:space="preserve">  30-day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0.74 (0.64~0.85)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0.66 (0.57~0.76)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 xml:space="preserve">  60-day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0.75 (0.65~0.85)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0.67 (0.59~0.77)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 xml:space="preserve">  100-day mortality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0.76 (0.67~0.86)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0.7 (0.61~0.79)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ODQwNThiYTg4YTBlNDhkZDRmNGNiNWM5NWE1YzAifQ=="/>
  </w:docVars>
  <w:rsids>
    <w:rsidRoot w:val="00000000"/>
    <w:rsid w:val="5AFD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2022-10-16T09:03:25Z</dcterms:created>
  <dc:creator>51720</dc:creator>
  <cp:lastModifiedBy>陈谦</cp:lastModifiedBy>
  <dcterms:modified xsi:type="dcterms:W3CDTF">2022-10-16T09:04:59Z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01AD910CB1194B2C813B3C9DED136EFF</vt:lpwstr>
  </property>
</Properties>
</file>