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E789" w14:textId="05BF0357" w:rsidR="00BB0B70" w:rsidRDefault="00B41628">
      <w:r>
        <w:rPr>
          <w:noProof/>
        </w:rPr>
        <w:drawing>
          <wp:inline distT="0" distB="0" distL="0" distR="0" wp14:anchorId="2EBFDBE8" wp14:editId="0D417DA7">
            <wp:extent cx="5274310" cy="30587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A3BFA" w14:textId="6713C527" w:rsidR="00B41628" w:rsidRDefault="00B41628" w:rsidP="00B41628">
      <w:pPr>
        <w:autoSpaceDE w:val="0"/>
        <w:autoSpaceDN w:val="0"/>
        <w:adjustRightInd w:val="0"/>
        <w:snapToGrid w:val="0"/>
        <w:spacing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 w:hint="eastAsia"/>
          <w:b/>
          <w:bCs/>
          <w:kern w:val="0"/>
          <w:sz w:val="20"/>
          <w:szCs w:val="20"/>
        </w:rPr>
        <w:t xml:space="preserve">Supplementary Fig. 1 </w:t>
      </w:r>
      <w:r>
        <w:rPr>
          <w:rFonts w:ascii="Arial" w:hAnsi="Arial" w:cs="Arial" w:hint="eastAsia"/>
          <w:kern w:val="0"/>
          <w:sz w:val="20"/>
          <w:szCs w:val="20"/>
        </w:rPr>
        <w:t>The inflammatory factors and lipid profiles measured in blood samples before anesthesia induction and at PACU discharge. (A) Serum IL-1</w:t>
      </w:r>
      <w:r>
        <w:rPr>
          <w:rFonts w:ascii="Arial" w:hAnsi="Arial" w:cs="Arial" w:hint="eastAsia"/>
          <w:kern w:val="0"/>
          <w:sz w:val="20"/>
          <w:szCs w:val="20"/>
        </w:rPr>
        <w:t>β</w:t>
      </w:r>
      <w:r>
        <w:rPr>
          <w:rFonts w:ascii="Arial" w:hAnsi="Arial" w:cs="Arial" w:hint="eastAsia"/>
          <w:kern w:val="0"/>
          <w:sz w:val="20"/>
          <w:szCs w:val="20"/>
        </w:rPr>
        <w:t xml:space="preserve"> levels; (B) serum IL-8 levels; (C) serum IL-10 levels; (D) serum NPY levels; (E) serum TG levels; (F) serum VLDL levels. Data are shown as mean</w:t>
      </w:r>
      <w:r w:rsidR="008D28D5">
        <w:rPr>
          <w:rFonts w:ascii="Arial" w:hAnsi="Arial" w:cs="Arial" w:hint="eastAsia"/>
          <w:kern w:val="0"/>
          <w:sz w:val="20"/>
          <w:szCs w:val="20"/>
        </w:rPr>
        <w:t xml:space="preserve"> </w:t>
      </w:r>
      <w:r w:rsidRPr="00526E86">
        <w:rPr>
          <w:rFonts w:ascii="Arial" w:hAnsi="Arial" w:cs="Arial"/>
          <w:kern w:val="0"/>
          <w:sz w:val="20"/>
          <w:szCs w:val="20"/>
        </w:rPr>
        <w:t>±</w:t>
      </w:r>
      <w:r w:rsidR="008D28D5">
        <w:rPr>
          <w:rFonts w:ascii="Arial" w:hAnsi="Arial" w:cs="Arial" w:hint="eastAsia"/>
          <w:kern w:val="0"/>
          <w:sz w:val="20"/>
          <w:szCs w:val="20"/>
        </w:rPr>
        <w:t xml:space="preserve"> </w:t>
      </w:r>
      <w:r w:rsidR="00A233C1">
        <w:rPr>
          <w:rFonts w:ascii="Arial" w:hAnsi="Arial" w:cs="Arial"/>
          <w:kern w:val="0"/>
          <w:sz w:val="20"/>
          <w:szCs w:val="20"/>
        </w:rPr>
        <w:t>SD</w:t>
      </w:r>
      <w:r>
        <w:rPr>
          <w:rFonts w:ascii="Arial" w:hAnsi="Arial" w:cs="Arial" w:hint="eastAsia"/>
          <w:kern w:val="0"/>
          <w:sz w:val="20"/>
          <w:szCs w:val="20"/>
        </w:rPr>
        <w:t xml:space="preserve">. </w:t>
      </w:r>
      <w:r w:rsidR="005842C3">
        <w:rPr>
          <w:rFonts w:ascii="Arial" w:hAnsi="Arial" w:cs="Arial"/>
          <w:kern w:val="0"/>
          <w:sz w:val="20"/>
          <w:szCs w:val="20"/>
        </w:rPr>
        <w:t xml:space="preserve">SD, </w:t>
      </w:r>
      <w:r w:rsidR="005842C3" w:rsidRPr="005842C3">
        <w:rPr>
          <w:rFonts w:ascii="Arial" w:hAnsi="Arial" w:cs="Arial"/>
          <w:kern w:val="0"/>
          <w:sz w:val="20"/>
          <w:szCs w:val="20"/>
        </w:rPr>
        <w:t>standard deviation</w:t>
      </w:r>
      <w:r w:rsidR="005842C3">
        <w:rPr>
          <w:rFonts w:ascii="Arial" w:hAnsi="Arial" w:cs="Arial"/>
          <w:kern w:val="0"/>
          <w:sz w:val="20"/>
          <w:szCs w:val="20"/>
        </w:rPr>
        <w:t xml:space="preserve">, </w:t>
      </w:r>
      <w:r>
        <w:rPr>
          <w:rFonts w:ascii="Arial" w:hAnsi="Arial" w:cs="Arial" w:hint="eastAsia"/>
          <w:kern w:val="0"/>
          <w:sz w:val="20"/>
          <w:szCs w:val="20"/>
        </w:rPr>
        <w:t xml:space="preserve">IL, interleukin; NPY, neuropeptide Y; TG, triglyceride; VLDL, very </w:t>
      </w:r>
      <w:proofErr w:type="gramStart"/>
      <w:r>
        <w:rPr>
          <w:rFonts w:ascii="Arial" w:hAnsi="Arial" w:cs="Arial" w:hint="eastAsia"/>
          <w:kern w:val="0"/>
          <w:sz w:val="20"/>
          <w:szCs w:val="20"/>
        </w:rPr>
        <w:t>low density</w:t>
      </w:r>
      <w:proofErr w:type="gramEnd"/>
      <w:r>
        <w:rPr>
          <w:rFonts w:ascii="Arial" w:hAnsi="Arial" w:cs="Arial" w:hint="eastAsia"/>
          <w:kern w:val="0"/>
          <w:sz w:val="20"/>
          <w:szCs w:val="20"/>
        </w:rPr>
        <w:t xml:space="preserve"> lipoprotein; PACU, </w:t>
      </w:r>
      <w:proofErr w:type="spellStart"/>
      <w:r>
        <w:rPr>
          <w:rFonts w:ascii="Arial" w:hAnsi="Arial" w:cs="Arial" w:hint="eastAsia"/>
          <w:kern w:val="0"/>
          <w:sz w:val="20"/>
          <w:szCs w:val="20"/>
        </w:rPr>
        <w:t>postanesthesia</w:t>
      </w:r>
      <w:proofErr w:type="spellEnd"/>
      <w:r>
        <w:rPr>
          <w:rFonts w:ascii="Arial" w:hAnsi="Arial" w:cs="Arial" w:hint="eastAsia"/>
          <w:kern w:val="0"/>
          <w:sz w:val="20"/>
          <w:szCs w:val="20"/>
        </w:rPr>
        <w:t xml:space="preserve"> care unit; RT, </w:t>
      </w:r>
      <w:proofErr w:type="spellStart"/>
      <w:r>
        <w:rPr>
          <w:rFonts w:ascii="Arial" w:hAnsi="Arial" w:cs="Arial" w:hint="eastAsia"/>
          <w:kern w:val="0"/>
          <w:sz w:val="20"/>
          <w:szCs w:val="20"/>
        </w:rPr>
        <w:t>remimazolam</w:t>
      </w:r>
      <w:proofErr w:type="spellEnd"/>
      <w:r>
        <w:rPr>
          <w:rFonts w:ascii="Arial" w:hAnsi="Arial" w:cs="Arial" w:hint="eastAsia"/>
          <w:kern w:val="0"/>
          <w:sz w:val="20"/>
          <w:szCs w:val="20"/>
        </w:rPr>
        <w:t xml:space="preserve"> </w:t>
      </w:r>
      <w:proofErr w:type="spellStart"/>
      <w:r>
        <w:rPr>
          <w:rFonts w:ascii="Arial" w:hAnsi="Arial" w:cs="Arial" w:hint="eastAsia"/>
          <w:kern w:val="0"/>
          <w:sz w:val="20"/>
          <w:szCs w:val="20"/>
        </w:rPr>
        <w:t>tosilate</w:t>
      </w:r>
      <w:proofErr w:type="spellEnd"/>
      <w:r>
        <w:rPr>
          <w:rFonts w:ascii="Arial" w:hAnsi="Arial" w:cs="Arial" w:hint="eastAsia"/>
          <w:kern w:val="0"/>
          <w:sz w:val="20"/>
          <w:szCs w:val="20"/>
        </w:rPr>
        <w:t>.</w:t>
      </w:r>
    </w:p>
    <w:p w14:paraId="248BB09A" w14:textId="77777777" w:rsidR="00B41628" w:rsidRDefault="00B41628" w:rsidP="00B41628">
      <w:pPr>
        <w:autoSpaceDE w:val="0"/>
        <w:autoSpaceDN w:val="0"/>
        <w:adjustRightInd w:val="0"/>
        <w:snapToGrid w:val="0"/>
        <w:spacing w:line="480" w:lineRule="auto"/>
        <w:rPr>
          <w:rFonts w:ascii="Arial" w:hAnsi="Arial" w:cs="Arial"/>
          <w:kern w:val="0"/>
          <w:sz w:val="20"/>
          <w:szCs w:val="20"/>
        </w:rPr>
      </w:pPr>
      <w:r>
        <w:rPr>
          <w:rFonts w:ascii="Arial" w:hAnsi="Arial" w:cs="Arial" w:hint="eastAsia"/>
          <w:kern w:val="0"/>
          <w:sz w:val="20"/>
          <w:szCs w:val="20"/>
        </w:rPr>
        <w:t>*P &lt; 0.05, ***P &lt; 0.001, RT + flumazenil versus propofol group; ##P &lt; 0.01, ###P &lt; 0.001, RT versus propofol group; ns: no statistic difference.</w:t>
      </w:r>
    </w:p>
    <w:p w14:paraId="0BEFE58B" w14:textId="77777777" w:rsidR="00B41628" w:rsidRPr="00B41628" w:rsidRDefault="00B41628"/>
    <w:sectPr w:rsidR="00B41628" w:rsidRPr="00B416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D003C" w14:textId="77777777" w:rsidR="00165619" w:rsidRDefault="00165619" w:rsidP="00B41628">
      <w:r>
        <w:separator/>
      </w:r>
    </w:p>
  </w:endnote>
  <w:endnote w:type="continuationSeparator" w:id="0">
    <w:p w14:paraId="7C377D3B" w14:textId="77777777" w:rsidR="00165619" w:rsidRDefault="00165619" w:rsidP="00B4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C90EE" w14:textId="77777777" w:rsidR="00165619" w:rsidRDefault="00165619" w:rsidP="00B41628">
      <w:r>
        <w:separator/>
      </w:r>
    </w:p>
  </w:footnote>
  <w:footnote w:type="continuationSeparator" w:id="0">
    <w:p w14:paraId="44C826AF" w14:textId="77777777" w:rsidR="00165619" w:rsidRDefault="00165619" w:rsidP="00B41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ADC"/>
    <w:rsid w:val="00082ADC"/>
    <w:rsid w:val="00085215"/>
    <w:rsid w:val="0014252F"/>
    <w:rsid w:val="00165619"/>
    <w:rsid w:val="00446348"/>
    <w:rsid w:val="00526E86"/>
    <w:rsid w:val="005842C3"/>
    <w:rsid w:val="00612934"/>
    <w:rsid w:val="008D28D5"/>
    <w:rsid w:val="00A233C1"/>
    <w:rsid w:val="00B41628"/>
    <w:rsid w:val="00BB0B70"/>
    <w:rsid w:val="00D56EEB"/>
    <w:rsid w:val="00FB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B38CF"/>
  <w15:docId w15:val="{F151F21C-5D6C-4A18-B1BA-F4EBB387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16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1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1628"/>
    <w:rPr>
      <w:sz w:val="18"/>
      <w:szCs w:val="18"/>
    </w:rPr>
  </w:style>
  <w:style w:type="paragraph" w:styleId="a7">
    <w:name w:val="Revision"/>
    <w:hidden/>
    <w:uiPriority w:val="99"/>
    <w:semiHidden/>
    <w:rsid w:val="00A233C1"/>
  </w:style>
  <w:style w:type="paragraph" w:styleId="a8">
    <w:name w:val="Balloon Text"/>
    <w:basedOn w:val="a"/>
    <w:link w:val="a9"/>
    <w:uiPriority w:val="99"/>
    <w:semiHidden/>
    <w:unhideWhenUsed/>
    <w:rsid w:val="008D28D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D28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luowenchenq@outlook.com</dc:creator>
  <cp:keywords/>
  <dc:description/>
  <cp:lastModifiedBy>Wenchen Luo</cp:lastModifiedBy>
  <cp:revision>7</cp:revision>
  <dcterms:created xsi:type="dcterms:W3CDTF">2023-02-24T15:06:00Z</dcterms:created>
  <dcterms:modified xsi:type="dcterms:W3CDTF">2023-04-12T01:16:00Z</dcterms:modified>
</cp:coreProperties>
</file>