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C66B63" w14:textId="152F3751" w:rsidR="00DB1546" w:rsidRPr="00DB1546" w:rsidRDefault="00DB1546" w:rsidP="00DB1546">
      <w:pPr>
        <w:pStyle w:val="2"/>
        <w:spacing w:line="480" w:lineRule="auto"/>
        <w:rPr>
          <w:color w:val="000000" w:themeColor="text1"/>
        </w:rPr>
      </w:pPr>
      <w:r>
        <w:rPr>
          <w:color w:val="000000" w:themeColor="text1"/>
        </w:rPr>
        <w:t xml:space="preserve">Data extraction. </w:t>
      </w:r>
    </w:p>
    <w:p w14:paraId="0C5914DD" w14:textId="30F3EC8B" w:rsidR="0039201A" w:rsidRPr="00DB1546" w:rsidRDefault="0039201A" w:rsidP="0039201A">
      <w:pPr>
        <w:rPr>
          <w:rFonts w:ascii="Times New Roman" w:eastAsia="宋体" w:hAnsi="Times New Roman" w:cs="Times New Roman"/>
          <w:color w:val="000000"/>
          <w:sz w:val="24"/>
          <w:szCs w:val="24"/>
        </w:rPr>
      </w:pPr>
      <w:r w:rsidRPr="00DB1546">
        <w:rPr>
          <w:rFonts w:ascii="Times New Roman" w:eastAsia="宋体" w:hAnsi="Times New Roman" w:cs="Times New Roman"/>
          <w:color w:val="000000"/>
          <w:sz w:val="24"/>
          <w:szCs w:val="24"/>
        </w:rPr>
        <w:t>The following data were collected: demographics (age, sex, and ethnicity), vital signs (blood pressure, heart rate), BMI, diagnoses, and comorbidities (congestive heart failure, coronary artery disease, acute coronary syndrome, shock, atrial fibrillation, hypertension, diabetes, respiratory failure, chronic kidney disease, stroke, sepsis), laboratory parameters(white blood cell, red blood cell, platelet, hemoglobin, glucose, alanine aminotransferase, aspartate aminotransferase, creatinine, blood nitrogen urea, sodium, potassium, albumin), treatment(vasopressin, antibiotic, mechanical ventilation, dialysis), Acute Physiology and Chronic Health Evaluation IV (APACHE IV)</w:t>
      </w:r>
      <w:r w:rsidRPr="00DB1546">
        <w:rPr>
          <w:rFonts w:ascii="Times New Roman" w:eastAsia="宋体" w:hAnsi="Times New Roman" w:cs="Times New Roman" w:hint="eastAsia"/>
          <w:color w:val="000000"/>
          <w:sz w:val="24"/>
          <w:szCs w:val="24"/>
        </w:rPr>
        <w:t>.</w:t>
      </w:r>
    </w:p>
    <w:p w14:paraId="29A07F9D" w14:textId="77777777" w:rsidR="004C47FB" w:rsidRDefault="004C47FB"/>
    <w:p w14:paraId="31B7C1CF" w14:textId="77777777" w:rsidR="00DB1546" w:rsidRDefault="00DB1546" w:rsidP="00DB15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宋体" w:hAnsi="Times New Roman" w:cs="Times New Roman"/>
          <w:b/>
          <w:bCs/>
          <w:color w:val="000000"/>
          <w:sz w:val="24"/>
          <w:szCs w:val="24"/>
        </w:rPr>
      </w:pPr>
      <w:r w:rsidRPr="00562BEC">
        <w:rPr>
          <w:rFonts w:ascii="Times New Roman" w:eastAsia="宋体" w:hAnsi="Times New Roman" w:cs="Times New Roman"/>
          <w:b/>
          <w:bCs/>
          <w:color w:val="000000"/>
          <w:sz w:val="24"/>
          <w:szCs w:val="24"/>
        </w:rPr>
        <w:t>Detailing the methodology for calculating the</w:t>
      </w:r>
      <w:bookmarkStart w:id="0" w:name="OLE_LINK1"/>
      <w:r w:rsidRPr="00562BEC">
        <w:rPr>
          <w:rFonts w:ascii="Times New Roman" w:eastAsia="宋体" w:hAnsi="Times New Roman" w:cs="Times New Roman"/>
          <w:b/>
          <w:bCs/>
          <w:color w:val="000000"/>
          <w:sz w:val="24"/>
          <w:szCs w:val="24"/>
        </w:rPr>
        <w:t xml:space="preserve"> p-value for trend.</w:t>
      </w:r>
      <w:bookmarkEnd w:id="0"/>
    </w:p>
    <w:p w14:paraId="3DE6A605" w14:textId="336E8381" w:rsidR="00DB1546" w:rsidRPr="00DB1546" w:rsidRDefault="00DB1546" w:rsidP="00DB15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宋体" w:hAnsi="Times New Roman" w:cs="Times New Roman"/>
          <w:b/>
          <w:bCs/>
          <w:color w:val="000000"/>
          <w:sz w:val="24"/>
          <w:szCs w:val="24"/>
        </w:rPr>
      </w:pPr>
      <w:r w:rsidRPr="00562BEC">
        <w:rPr>
          <w:rFonts w:ascii="Times New Roman" w:eastAsia="宋体" w:hAnsi="Times New Roman" w:cs="Times New Roman"/>
          <w:color w:val="000000"/>
          <w:sz w:val="24"/>
          <w:szCs w:val="24"/>
        </w:rPr>
        <w:t>We first transformed the</w:t>
      </w:r>
      <w:r w:rsidRPr="00562BEC">
        <w:rPr>
          <w:rFonts w:ascii="Times New Roman" w:eastAsia="宋体" w:hAnsi="Times New Roman" w:cs="Times New Roman" w:hint="eastAsia"/>
          <w:color w:val="000000"/>
          <w:sz w:val="24"/>
          <w:szCs w:val="24"/>
        </w:rPr>
        <w:t xml:space="preserve"> GNRI</w:t>
      </w:r>
      <w:r w:rsidRPr="00562BEC">
        <w:rPr>
          <w:rFonts w:ascii="Times New Roman" w:eastAsia="宋体" w:hAnsi="Times New Roman" w:cs="Times New Roman"/>
          <w:color w:val="000000"/>
          <w:sz w:val="24"/>
          <w:szCs w:val="24"/>
        </w:rPr>
        <w:t xml:space="preserve"> into an ordinal categorical variable, representing different risk levels. </w:t>
      </w:r>
      <w:r w:rsidRPr="00562BEC">
        <w:rPr>
          <w:rFonts w:ascii="Times New Roman" w:eastAsia="宋体" w:hAnsi="Times New Roman" w:cs="Times New Roman" w:hint="eastAsia"/>
          <w:color w:val="000000"/>
          <w:sz w:val="24"/>
          <w:szCs w:val="24"/>
        </w:rPr>
        <w:t>S</w:t>
      </w:r>
      <w:r w:rsidRPr="00562BEC">
        <w:rPr>
          <w:rFonts w:ascii="Times New Roman" w:eastAsia="宋体" w:hAnsi="Times New Roman" w:cs="Times New Roman"/>
          <w:color w:val="000000"/>
          <w:sz w:val="24"/>
          <w:szCs w:val="24"/>
        </w:rPr>
        <w:t xml:space="preserve">ubsequently, </w:t>
      </w:r>
      <w:r w:rsidRPr="00562BEC">
        <w:rPr>
          <w:rFonts w:ascii="Times New Roman" w:eastAsia="宋体" w:hAnsi="Times New Roman" w:cs="Times New Roman" w:hint="eastAsia"/>
          <w:color w:val="000000"/>
          <w:sz w:val="24"/>
          <w:szCs w:val="24"/>
        </w:rPr>
        <w:t>w</w:t>
      </w:r>
      <w:r w:rsidRPr="00562BEC">
        <w:rPr>
          <w:rFonts w:ascii="Times New Roman" w:eastAsia="宋体" w:hAnsi="Times New Roman" w:cs="Times New Roman"/>
          <w:color w:val="000000"/>
          <w:sz w:val="24"/>
          <w:szCs w:val="24"/>
        </w:rPr>
        <w:t>e constructed a stepwise logistic regression model using the transformed GNRI categories as independent variables. In the model, we introduced an ordered numerical variable to represent the GNRI categories. The coefficients for each step of the logistic regression were calculated, and these coefficients were statistically tested to derive the p-value for trend. This p-value helps determine whether there is a statistically significant trend in in-hospital mortality across the GNRI categories as scores increase.</w:t>
      </w:r>
    </w:p>
    <w:p w14:paraId="62548E26" w14:textId="60BE33BF" w:rsidR="00870C1C" w:rsidRDefault="00870C1C">
      <w:pPr>
        <w:rPr>
          <w:rFonts w:ascii="Times New Roman" w:eastAsia="宋体" w:hAnsi="Times New Roman" w:cs="Times New Roman"/>
          <w:b/>
          <w:bCs/>
          <w:color w:val="000000"/>
          <w:sz w:val="24"/>
          <w:szCs w:val="24"/>
        </w:rPr>
      </w:pPr>
      <w:r>
        <w:rPr>
          <w:rFonts w:ascii="Times New Roman" w:eastAsia="宋体" w:hAnsi="Times New Roman" w:cs="Times New Roman" w:hint="eastAsia"/>
          <w:b/>
          <w:bCs/>
          <w:color w:val="000000"/>
          <w:sz w:val="24"/>
          <w:szCs w:val="24"/>
        </w:rPr>
        <w:t>D</w:t>
      </w:r>
      <w:r w:rsidRPr="00586423">
        <w:rPr>
          <w:rFonts w:ascii="Times New Roman" w:eastAsia="宋体" w:hAnsi="Times New Roman" w:cs="Times New Roman"/>
          <w:b/>
          <w:bCs/>
          <w:color w:val="000000"/>
          <w:sz w:val="24"/>
          <w:szCs w:val="24"/>
        </w:rPr>
        <w:t xml:space="preserve">efinitions for continuous odds ratios </w:t>
      </w:r>
    </w:p>
    <w:p w14:paraId="1941E2FE" w14:textId="5D94BEC8" w:rsidR="00870C1C" w:rsidRPr="00F1427B" w:rsidRDefault="00F1427B" w:rsidP="00F142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宋体" w:hAnsi="Times New Roman" w:cs="Times New Roman"/>
          <w:color w:val="000000"/>
          <w:sz w:val="24"/>
          <w:szCs w:val="24"/>
        </w:rPr>
      </w:pPr>
      <w:r w:rsidRPr="003D1DA0">
        <w:rPr>
          <w:rFonts w:ascii="Times New Roman" w:eastAsia="宋体" w:hAnsi="Times New Roman" w:cs="Times New Roman"/>
          <w:color w:val="000000"/>
          <w:sz w:val="24"/>
          <w:szCs w:val="24"/>
        </w:rPr>
        <w:t>In our study, continuous odds ratios refer to the odds of in-hospital mortality associated with each unit increase in the GNRI</w:t>
      </w:r>
      <w:r>
        <w:rPr>
          <w:rFonts w:ascii="Times New Roman" w:eastAsia="宋体" w:hAnsi="Times New Roman" w:cs="Times New Roman" w:hint="eastAsia"/>
          <w:color w:val="000000"/>
          <w:sz w:val="24"/>
          <w:szCs w:val="24"/>
        </w:rPr>
        <w:t xml:space="preserve"> </w:t>
      </w:r>
      <w:r w:rsidRPr="003D1DA0">
        <w:rPr>
          <w:rFonts w:ascii="Times New Roman" w:eastAsia="宋体" w:hAnsi="Times New Roman" w:cs="Times New Roman"/>
          <w:color w:val="000000"/>
          <w:sz w:val="24"/>
          <w:szCs w:val="24"/>
        </w:rPr>
        <w:t>score. To compute these odds ratios, we utilized logistic regression models. The continuous odds ratio for GNRI is derived from these models by setting GNRI as a continuous predictor variable. The regression coefficient obtained for GNRI, when exponentiated, provides the odds ratio, which indicates how the odds of the outcome change with each additional point of GNRI.</w:t>
      </w:r>
    </w:p>
    <w:p w14:paraId="2A9216CB" w14:textId="77777777" w:rsidR="00DB1546" w:rsidRPr="00DB1546" w:rsidRDefault="00DB1546" w:rsidP="00DB1546">
      <w:pPr>
        <w:spacing w:after="0" w:line="480" w:lineRule="auto"/>
        <w:rPr>
          <w:rFonts w:ascii="Times New Roman" w:eastAsia="宋体" w:hAnsi="Times New Roman" w:cs="Times New Roman"/>
          <w:b/>
          <w:bCs/>
          <w:color w:val="000000"/>
          <w:sz w:val="24"/>
          <w:szCs w:val="24"/>
        </w:rPr>
      </w:pPr>
      <w:r w:rsidRPr="00DB1546">
        <w:rPr>
          <w:rFonts w:ascii="Times New Roman" w:eastAsia="宋体" w:hAnsi="Times New Roman" w:cs="Times New Roman"/>
          <w:b/>
          <w:bCs/>
          <w:color w:val="000000"/>
          <w:sz w:val="24"/>
          <w:szCs w:val="24"/>
        </w:rPr>
        <w:t xml:space="preserve">Table </w:t>
      </w:r>
      <w:r w:rsidRPr="00DB1546">
        <w:rPr>
          <w:rFonts w:ascii="Times New Roman" w:eastAsia="宋体" w:hAnsi="Times New Roman" w:cs="Times New Roman" w:hint="eastAsia"/>
          <w:b/>
          <w:bCs/>
          <w:color w:val="000000"/>
          <w:sz w:val="24"/>
          <w:szCs w:val="24"/>
        </w:rPr>
        <w:t xml:space="preserve">S1. </w:t>
      </w:r>
      <w:r w:rsidRPr="00DB1546">
        <w:rPr>
          <w:rFonts w:ascii="Times New Roman" w:eastAsia="宋体" w:hAnsi="Times New Roman" w:cs="Times New Roman"/>
          <w:b/>
          <w:bCs/>
          <w:color w:val="000000"/>
          <w:sz w:val="24"/>
          <w:szCs w:val="24"/>
        </w:rPr>
        <w:t xml:space="preserve">The association between GNRI and </w:t>
      </w:r>
      <w:r w:rsidRPr="00DB1546">
        <w:rPr>
          <w:rFonts w:ascii="Times New Roman" w:eastAsia="宋体" w:hAnsi="Times New Roman" w:cs="Times New Roman" w:hint="eastAsia"/>
          <w:b/>
          <w:bCs/>
          <w:color w:val="000000"/>
          <w:sz w:val="24"/>
          <w:szCs w:val="24"/>
        </w:rPr>
        <w:t>secondary</w:t>
      </w:r>
      <w:r w:rsidRPr="00DB1546">
        <w:rPr>
          <w:rFonts w:ascii="Times New Roman" w:eastAsia="宋体" w:hAnsi="Times New Roman" w:cs="Times New Roman"/>
          <w:b/>
          <w:bCs/>
          <w:color w:val="000000"/>
          <w:sz w:val="24"/>
          <w:szCs w:val="24"/>
        </w:rPr>
        <w:t xml:space="preserve"> </w:t>
      </w:r>
      <w:r w:rsidRPr="00DB1546">
        <w:rPr>
          <w:rFonts w:ascii="Times New Roman" w:eastAsia="宋体" w:hAnsi="Times New Roman" w:cs="Times New Roman" w:hint="eastAsia"/>
          <w:b/>
          <w:bCs/>
          <w:color w:val="000000"/>
          <w:sz w:val="24"/>
          <w:szCs w:val="24"/>
        </w:rPr>
        <w:t>outcomes</w:t>
      </w:r>
      <w:r w:rsidRPr="00DB1546">
        <w:rPr>
          <w:rFonts w:ascii="Times New Roman" w:eastAsia="宋体" w:hAnsi="Times New Roman" w:cs="Times New Roman"/>
          <w:b/>
          <w:bCs/>
          <w:color w:val="000000"/>
          <w:sz w:val="24"/>
          <w:szCs w:val="24"/>
        </w:rPr>
        <w:t xml:space="preserve"> </w:t>
      </w:r>
      <w:r w:rsidRPr="00DB1546">
        <w:rPr>
          <w:rFonts w:ascii="Times New Roman" w:eastAsia="宋体" w:hAnsi="Times New Roman" w:cs="Times New Roman" w:hint="eastAsia"/>
          <w:b/>
          <w:bCs/>
          <w:color w:val="000000"/>
          <w:sz w:val="24"/>
          <w:szCs w:val="24"/>
        </w:rPr>
        <w:t>through</w:t>
      </w:r>
      <w:r w:rsidRPr="00DB1546">
        <w:rPr>
          <w:rFonts w:ascii="Times New Roman" w:eastAsia="宋体" w:hAnsi="Times New Roman" w:cs="Times New Roman"/>
          <w:b/>
          <w:bCs/>
          <w:color w:val="000000"/>
          <w:sz w:val="24"/>
          <w:szCs w:val="24"/>
        </w:rPr>
        <w:t xml:space="preserve"> Poisson regression</w:t>
      </w:r>
    </w:p>
    <w:tbl>
      <w:tblPr>
        <w:tblStyle w:val="a7"/>
        <w:tblW w:w="0" w:type="auto"/>
        <w:shd w:val="clear" w:color="auto" w:fill="FFFFFF" w:themeFill="background1"/>
        <w:tblLook w:val="04A0" w:firstRow="1" w:lastRow="0" w:firstColumn="1" w:lastColumn="0" w:noHBand="0" w:noVBand="1"/>
      </w:tblPr>
      <w:tblGrid>
        <w:gridCol w:w="2978"/>
        <w:gridCol w:w="2410"/>
        <w:gridCol w:w="1701"/>
        <w:gridCol w:w="1134"/>
      </w:tblGrid>
      <w:tr w:rsidR="00DB1546" w:rsidRPr="0087273C" w14:paraId="3CB4C91C" w14:textId="77777777" w:rsidTr="00306714">
        <w:tc>
          <w:tcPr>
            <w:tcW w:w="2978" w:type="dxa"/>
            <w:tcBorders>
              <w:left w:val="nil"/>
              <w:bottom w:val="single" w:sz="4" w:space="0" w:color="auto"/>
              <w:right w:val="nil"/>
            </w:tcBorders>
            <w:shd w:val="clear" w:color="auto" w:fill="FFFFFF" w:themeFill="background1"/>
          </w:tcPr>
          <w:p w14:paraId="41813041" w14:textId="77777777" w:rsidR="00DB1546" w:rsidRPr="0087273C" w:rsidRDefault="00DB1546" w:rsidP="00306714">
            <w:pPr>
              <w:spacing w:after="0" w:line="480" w:lineRule="auto"/>
              <w:jc w:val="center"/>
              <w:rPr>
                <w:rFonts w:ascii="Times New Roman" w:eastAsia="宋体" w:hAnsi="Times New Roman" w:cs="Times New Roman"/>
                <w:color w:val="000000"/>
                <w:sz w:val="24"/>
                <w:szCs w:val="24"/>
              </w:rPr>
            </w:pPr>
          </w:p>
        </w:tc>
        <w:tc>
          <w:tcPr>
            <w:tcW w:w="2410" w:type="dxa"/>
            <w:tcBorders>
              <w:left w:val="nil"/>
              <w:bottom w:val="single" w:sz="4" w:space="0" w:color="auto"/>
              <w:right w:val="nil"/>
            </w:tcBorders>
            <w:shd w:val="clear" w:color="auto" w:fill="FFFFFF" w:themeFill="background1"/>
          </w:tcPr>
          <w:p w14:paraId="14250488" w14:textId="77777777" w:rsidR="00DB1546" w:rsidRPr="0087273C" w:rsidRDefault="00DB1546" w:rsidP="00306714">
            <w:pPr>
              <w:spacing w:after="0" w:line="480" w:lineRule="auto"/>
              <w:jc w:val="center"/>
              <w:rPr>
                <w:rFonts w:ascii="Times New Roman" w:eastAsia="宋体" w:hAnsi="Times New Roman" w:cs="Times New Roman"/>
                <w:color w:val="000000"/>
                <w:sz w:val="24"/>
                <w:szCs w:val="24"/>
              </w:rPr>
            </w:pPr>
            <w:r w:rsidRPr="0087273C">
              <w:rPr>
                <w:rFonts w:ascii="Times New Roman" w:eastAsia="宋体" w:hAnsi="Times New Roman" w:cs="Times New Roman"/>
                <w:color w:val="000000"/>
                <w:sz w:val="24"/>
                <w:szCs w:val="24"/>
              </w:rPr>
              <w:t>Coefficient(95%Cl)</w:t>
            </w:r>
          </w:p>
        </w:tc>
        <w:tc>
          <w:tcPr>
            <w:tcW w:w="1701" w:type="dxa"/>
            <w:tcBorders>
              <w:left w:val="nil"/>
              <w:bottom w:val="single" w:sz="4" w:space="0" w:color="auto"/>
              <w:right w:val="nil"/>
            </w:tcBorders>
            <w:shd w:val="clear" w:color="auto" w:fill="FFFFFF" w:themeFill="background1"/>
          </w:tcPr>
          <w:p w14:paraId="6B2BA3DB" w14:textId="77777777" w:rsidR="00DB1546" w:rsidRPr="0087273C" w:rsidRDefault="00DB1546" w:rsidP="00306714">
            <w:pPr>
              <w:spacing w:after="0" w:line="480" w:lineRule="auto"/>
              <w:jc w:val="center"/>
              <w:rPr>
                <w:rFonts w:ascii="Times New Roman" w:eastAsia="宋体" w:hAnsi="Times New Roman" w:cs="Times New Roman"/>
                <w:color w:val="000000"/>
                <w:sz w:val="24"/>
                <w:szCs w:val="24"/>
              </w:rPr>
            </w:pPr>
            <w:r w:rsidRPr="0087273C">
              <w:rPr>
                <w:rFonts w:ascii="Times New Roman" w:eastAsia="宋体" w:hAnsi="Times New Roman" w:cs="Times New Roman"/>
                <w:color w:val="000000"/>
                <w:sz w:val="24"/>
                <w:szCs w:val="24"/>
              </w:rPr>
              <w:t>Standard error</w:t>
            </w:r>
          </w:p>
        </w:tc>
        <w:tc>
          <w:tcPr>
            <w:tcW w:w="1134" w:type="dxa"/>
            <w:tcBorders>
              <w:left w:val="nil"/>
              <w:bottom w:val="single" w:sz="4" w:space="0" w:color="auto"/>
              <w:right w:val="nil"/>
            </w:tcBorders>
            <w:shd w:val="clear" w:color="auto" w:fill="FFFFFF" w:themeFill="background1"/>
          </w:tcPr>
          <w:p w14:paraId="0439E938" w14:textId="77777777" w:rsidR="00DB1546" w:rsidRPr="0087273C" w:rsidRDefault="00DB1546" w:rsidP="00306714">
            <w:pPr>
              <w:spacing w:after="0" w:line="480" w:lineRule="auto"/>
              <w:jc w:val="center"/>
              <w:rPr>
                <w:rFonts w:ascii="Times New Roman" w:eastAsia="宋体" w:hAnsi="Times New Roman" w:cs="Times New Roman"/>
                <w:color w:val="000000"/>
                <w:sz w:val="24"/>
                <w:szCs w:val="24"/>
              </w:rPr>
            </w:pPr>
            <w:r w:rsidRPr="0087273C">
              <w:rPr>
                <w:rFonts w:ascii="Times New Roman" w:eastAsia="宋体" w:hAnsi="Times New Roman" w:cs="Times New Roman"/>
                <w:color w:val="000000"/>
                <w:sz w:val="24"/>
                <w:szCs w:val="24"/>
              </w:rPr>
              <w:t>P value</w:t>
            </w:r>
          </w:p>
        </w:tc>
      </w:tr>
      <w:tr w:rsidR="00DB1546" w:rsidRPr="0087273C" w14:paraId="43DE41F7" w14:textId="77777777" w:rsidTr="00306714">
        <w:tc>
          <w:tcPr>
            <w:tcW w:w="2978" w:type="dxa"/>
            <w:tcBorders>
              <w:left w:val="nil"/>
              <w:bottom w:val="nil"/>
              <w:right w:val="nil"/>
            </w:tcBorders>
            <w:shd w:val="clear" w:color="auto" w:fill="FFFFFF" w:themeFill="background1"/>
          </w:tcPr>
          <w:p w14:paraId="7E9400BF" w14:textId="77777777" w:rsidR="00DB1546" w:rsidRPr="0087273C" w:rsidRDefault="00DB1546" w:rsidP="00306714">
            <w:pPr>
              <w:spacing w:after="0" w:line="480" w:lineRule="auto"/>
              <w:jc w:val="center"/>
              <w:rPr>
                <w:rFonts w:ascii="Times New Roman" w:eastAsia="宋体" w:hAnsi="Times New Roman" w:cs="Times New Roman"/>
                <w:color w:val="000000"/>
                <w:sz w:val="24"/>
                <w:szCs w:val="24"/>
              </w:rPr>
            </w:pPr>
            <w:r w:rsidRPr="0087273C">
              <w:rPr>
                <w:rFonts w:ascii="Times New Roman" w:eastAsia="宋体" w:hAnsi="Times New Roman" w:cs="Times New Roman"/>
                <w:color w:val="000000"/>
                <w:sz w:val="24"/>
                <w:szCs w:val="24"/>
              </w:rPr>
              <w:t>Length of ICU stay</w:t>
            </w:r>
          </w:p>
        </w:tc>
        <w:tc>
          <w:tcPr>
            <w:tcW w:w="2410" w:type="dxa"/>
            <w:tcBorders>
              <w:left w:val="nil"/>
              <w:bottom w:val="nil"/>
              <w:right w:val="nil"/>
            </w:tcBorders>
            <w:shd w:val="clear" w:color="auto" w:fill="FFFFFF" w:themeFill="background1"/>
          </w:tcPr>
          <w:p w14:paraId="0EEDADD4" w14:textId="77777777" w:rsidR="00DB1546" w:rsidRPr="0087273C" w:rsidRDefault="00DB1546" w:rsidP="00306714">
            <w:pPr>
              <w:spacing w:after="0" w:line="480" w:lineRule="auto"/>
              <w:jc w:val="center"/>
              <w:rPr>
                <w:rFonts w:ascii="Times New Roman" w:eastAsia="宋体" w:hAnsi="Times New Roman" w:cs="Times New Roman"/>
                <w:color w:val="000000"/>
                <w:sz w:val="24"/>
                <w:szCs w:val="24"/>
              </w:rPr>
            </w:pPr>
            <w:r w:rsidRPr="0087273C">
              <w:rPr>
                <w:rFonts w:ascii="Times New Roman" w:eastAsia="宋体" w:hAnsi="Times New Roman" w:cs="Times New Roman"/>
                <w:color w:val="000000"/>
                <w:sz w:val="24"/>
                <w:szCs w:val="24"/>
              </w:rPr>
              <w:t>-0.</w:t>
            </w:r>
            <w:r w:rsidRPr="0087273C">
              <w:rPr>
                <w:rFonts w:ascii="Times New Roman" w:eastAsia="宋体" w:hAnsi="Times New Roman" w:cs="Times New Roman" w:hint="eastAsia"/>
                <w:color w:val="000000"/>
                <w:sz w:val="24"/>
                <w:szCs w:val="24"/>
              </w:rPr>
              <w:t>123</w:t>
            </w:r>
            <w:r w:rsidRPr="0087273C">
              <w:rPr>
                <w:rFonts w:ascii="Times New Roman" w:eastAsia="宋体" w:hAnsi="Times New Roman" w:cs="Times New Roman"/>
                <w:color w:val="000000"/>
                <w:sz w:val="24"/>
                <w:szCs w:val="24"/>
              </w:rPr>
              <w:t>(-0.</w:t>
            </w:r>
            <w:r w:rsidRPr="0087273C">
              <w:rPr>
                <w:rFonts w:ascii="Times New Roman" w:eastAsia="宋体" w:hAnsi="Times New Roman" w:cs="Times New Roman" w:hint="eastAsia"/>
                <w:color w:val="000000"/>
                <w:sz w:val="24"/>
                <w:szCs w:val="24"/>
              </w:rPr>
              <w:t>125</w:t>
            </w:r>
            <w:r w:rsidRPr="0087273C">
              <w:rPr>
                <w:rFonts w:ascii="Times New Roman" w:eastAsia="宋体" w:hAnsi="Times New Roman" w:cs="Times New Roman"/>
                <w:color w:val="000000"/>
                <w:sz w:val="24"/>
                <w:szCs w:val="24"/>
              </w:rPr>
              <w:t>, -0.</w:t>
            </w:r>
            <w:r w:rsidRPr="0087273C">
              <w:rPr>
                <w:rFonts w:ascii="Times New Roman" w:eastAsia="宋体" w:hAnsi="Times New Roman" w:cs="Times New Roman" w:hint="eastAsia"/>
                <w:color w:val="000000"/>
                <w:sz w:val="24"/>
                <w:szCs w:val="24"/>
              </w:rPr>
              <w:t>122</w:t>
            </w:r>
            <w:r w:rsidRPr="0087273C">
              <w:rPr>
                <w:rFonts w:ascii="Times New Roman" w:eastAsia="宋体" w:hAnsi="Times New Roman" w:cs="Times New Roman"/>
                <w:color w:val="000000"/>
                <w:sz w:val="24"/>
                <w:szCs w:val="24"/>
              </w:rPr>
              <w:t>)</w:t>
            </w:r>
          </w:p>
        </w:tc>
        <w:tc>
          <w:tcPr>
            <w:tcW w:w="1701" w:type="dxa"/>
            <w:tcBorders>
              <w:left w:val="nil"/>
              <w:bottom w:val="nil"/>
              <w:right w:val="nil"/>
            </w:tcBorders>
            <w:shd w:val="clear" w:color="auto" w:fill="FFFFFF" w:themeFill="background1"/>
          </w:tcPr>
          <w:p w14:paraId="4F325D08" w14:textId="77777777" w:rsidR="00DB1546" w:rsidRPr="0087273C" w:rsidRDefault="00DB1546" w:rsidP="00306714">
            <w:pPr>
              <w:spacing w:after="0" w:line="480" w:lineRule="auto"/>
              <w:jc w:val="center"/>
              <w:rPr>
                <w:rFonts w:ascii="Times New Roman" w:eastAsia="宋体" w:hAnsi="Times New Roman" w:cs="Times New Roman"/>
                <w:color w:val="000000"/>
                <w:sz w:val="24"/>
                <w:szCs w:val="24"/>
              </w:rPr>
            </w:pPr>
            <w:bookmarkStart w:id="1" w:name="OLE_LINK3"/>
            <w:r w:rsidRPr="0087273C">
              <w:rPr>
                <w:rFonts w:ascii="Times New Roman" w:eastAsia="宋体" w:hAnsi="Times New Roman" w:cs="Times New Roman" w:hint="eastAsia"/>
                <w:color w:val="000000"/>
                <w:sz w:val="24"/>
                <w:szCs w:val="24"/>
              </w:rPr>
              <w:t>&lt;</w:t>
            </w:r>
            <w:r w:rsidRPr="0087273C">
              <w:rPr>
                <w:rFonts w:ascii="Times New Roman" w:eastAsia="宋体" w:hAnsi="Times New Roman" w:cs="Times New Roman"/>
                <w:color w:val="000000"/>
                <w:sz w:val="24"/>
                <w:szCs w:val="24"/>
              </w:rPr>
              <w:t>0.00</w:t>
            </w:r>
            <w:r w:rsidRPr="0087273C">
              <w:rPr>
                <w:rFonts w:ascii="Times New Roman" w:eastAsia="宋体" w:hAnsi="Times New Roman" w:cs="Times New Roman" w:hint="eastAsia"/>
                <w:color w:val="000000"/>
                <w:sz w:val="24"/>
                <w:szCs w:val="24"/>
              </w:rPr>
              <w:t>1</w:t>
            </w:r>
            <w:bookmarkEnd w:id="1"/>
          </w:p>
        </w:tc>
        <w:tc>
          <w:tcPr>
            <w:tcW w:w="1134" w:type="dxa"/>
            <w:tcBorders>
              <w:left w:val="nil"/>
              <w:bottom w:val="nil"/>
              <w:right w:val="nil"/>
            </w:tcBorders>
            <w:shd w:val="clear" w:color="auto" w:fill="FFFFFF" w:themeFill="background1"/>
          </w:tcPr>
          <w:p w14:paraId="5A27CC87" w14:textId="77777777" w:rsidR="00DB1546" w:rsidRPr="0087273C" w:rsidRDefault="00DB1546" w:rsidP="00306714">
            <w:pPr>
              <w:spacing w:after="0" w:line="480" w:lineRule="auto"/>
              <w:jc w:val="center"/>
              <w:rPr>
                <w:rFonts w:ascii="Times New Roman" w:eastAsia="宋体" w:hAnsi="Times New Roman" w:cs="Times New Roman"/>
                <w:color w:val="000000"/>
                <w:sz w:val="24"/>
                <w:szCs w:val="24"/>
              </w:rPr>
            </w:pPr>
            <w:r w:rsidRPr="0087273C">
              <w:rPr>
                <w:rFonts w:ascii="Times New Roman" w:eastAsia="宋体" w:hAnsi="Times New Roman" w:cs="Times New Roman"/>
                <w:color w:val="000000"/>
                <w:sz w:val="24"/>
                <w:szCs w:val="24"/>
              </w:rPr>
              <w:t>&lt;0.001</w:t>
            </w:r>
          </w:p>
        </w:tc>
      </w:tr>
      <w:tr w:rsidR="00DB1546" w:rsidRPr="0087273C" w14:paraId="74A4C4E6" w14:textId="77777777" w:rsidTr="00306714">
        <w:tc>
          <w:tcPr>
            <w:tcW w:w="2978" w:type="dxa"/>
            <w:tcBorders>
              <w:top w:val="nil"/>
              <w:left w:val="nil"/>
              <w:right w:val="nil"/>
            </w:tcBorders>
            <w:shd w:val="clear" w:color="auto" w:fill="FFFFFF" w:themeFill="background1"/>
          </w:tcPr>
          <w:p w14:paraId="4095824A" w14:textId="77777777" w:rsidR="00DB1546" w:rsidRPr="0087273C" w:rsidRDefault="00DB1546" w:rsidP="00306714">
            <w:pPr>
              <w:spacing w:after="0" w:line="480" w:lineRule="auto"/>
              <w:jc w:val="center"/>
              <w:rPr>
                <w:rFonts w:ascii="Times New Roman" w:eastAsia="宋体" w:hAnsi="Times New Roman" w:cs="Times New Roman"/>
                <w:color w:val="000000"/>
                <w:sz w:val="24"/>
                <w:szCs w:val="24"/>
              </w:rPr>
            </w:pPr>
            <w:r w:rsidRPr="0087273C">
              <w:rPr>
                <w:rFonts w:ascii="Times New Roman" w:eastAsia="宋体" w:hAnsi="Times New Roman" w:cs="Times New Roman"/>
                <w:color w:val="000000"/>
                <w:sz w:val="24"/>
                <w:szCs w:val="24"/>
              </w:rPr>
              <w:t>Length of hospital stay</w:t>
            </w:r>
          </w:p>
        </w:tc>
        <w:tc>
          <w:tcPr>
            <w:tcW w:w="2410" w:type="dxa"/>
            <w:tcBorders>
              <w:top w:val="nil"/>
              <w:left w:val="nil"/>
              <w:right w:val="nil"/>
            </w:tcBorders>
            <w:shd w:val="clear" w:color="auto" w:fill="FFFFFF" w:themeFill="background1"/>
          </w:tcPr>
          <w:p w14:paraId="42B41764" w14:textId="77777777" w:rsidR="00DB1546" w:rsidRPr="0087273C" w:rsidRDefault="00DB1546" w:rsidP="00306714">
            <w:pPr>
              <w:spacing w:after="0" w:line="480" w:lineRule="auto"/>
              <w:jc w:val="center"/>
              <w:rPr>
                <w:rFonts w:ascii="Times New Roman" w:eastAsia="宋体" w:hAnsi="Times New Roman" w:cs="Times New Roman"/>
                <w:color w:val="000000"/>
                <w:sz w:val="24"/>
                <w:szCs w:val="24"/>
              </w:rPr>
            </w:pPr>
            <w:r w:rsidRPr="0087273C">
              <w:rPr>
                <w:rFonts w:ascii="Times New Roman" w:eastAsia="宋体" w:hAnsi="Times New Roman" w:cs="Times New Roman"/>
                <w:color w:val="000000"/>
                <w:sz w:val="24"/>
                <w:szCs w:val="24"/>
              </w:rPr>
              <w:t>-0.1</w:t>
            </w:r>
            <w:r w:rsidRPr="0087273C">
              <w:rPr>
                <w:rFonts w:ascii="Times New Roman" w:eastAsia="宋体" w:hAnsi="Times New Roman" w:cs="Times New Roman" w:hint="eastAsia"/>
                <w:color w:val="000000"/>
                <w:sz w:val="24"/>
                <w:szCs w:val="24"/>
              </w:rPr>
              <w:t>29</w:t>
            </w:r>
            <w:r w:rsidRPr="0087273C">
              <w:rPr>
                <w:rFonts w:ascii="Times New Roman" w:eastAsia="宋体" w:hAnsi="Times New Roman" w:cs="Times New Roman"/>
                <w:color w:val="000000"/>
                <w:sz w:val="24"/>
                <w:szCs w:val="24"/>
              </w:rPr>
              <w:t>(-0.1</w:t>
            </w:r>
            <w:r w:rsidRPr="0087273C">
              <w:rPr>
                <w:rFonts w:ascii="Times New Roman" w:eastAsia="宋体" w:hAnsi="Times New Roman" w:cs="Times New Roman" w:hint="eastAsia"/>
                <w:color w:val="000000"/>
                <w:sz w:val="24"/>
                <w:szCs w:val="24"/>
              </w:rPr>
              <w:t>30</w:t>
            </w:r>
            <w:r w:rsidRPr="0087273C">
              <w:rPr>
                <w:rFonts w:ascii="Times New Roman" w:eastAsia="宋体" w:hAnsi="Times New Roman" w:cs="Times New Roman"/>
                <w:color w:val="000000"/>
                <w:sz w:val="24"/>
                <w:szCs w:val="24"/>
              </w:rPr>
              <w:t>, -0.</w:t>
            </w:r>
            <w:r w:rsidRPr="0087273C">
              <w:rPr>
                <w:rFonts w:ascii="Times New Roman" w:eastAsia="宋体" w:hAnsi="Times New Roman" w:cs="Times New Roman" w:hint="eastAsia"/>
                <w:color w:val="000000"/>
                <w:sz w:val="24"/>
                <w:szCs w:val="24"/>
              </w:rPr>
              <w:t>128</w:t>
            </w:r>
            <w:r w:rsidRPr="0087273C">
              <w:rPr>
                <w:rFonts w:ascii="Times New Roman" w:eastAsia="宋体" w:hAnsi="Times New Roman" w:cs="Times New Roman"/>
                <w:color w:val="000000"/>
                <w:sz w:val="24"/>
                <w:szCs w:val="24"/>
              </w:rPr>
              <w:t>)</w:t>
            </w:r>
          </w:p>
        </w:tc>
        <w:tc>
          <w:tcPr>
            <w:tcW w:w="1701" w:type="dxa"/>
            <w:tcBorders>
              <w:top w:val="nil"/>
              <w:left w:val="nil"/>
              <w:right w:val="nil"/>
            </w:tcBorders>
            <w:shd w:val="clear" w:color="auto" w:fill="FFFFFF" w:themeFill="background1"/>
          </w:tcPr>
          <w:p w14:paraId="11F22E40" w14:textId="77777777" w:rsidR="00DB1546" w:rsidRPr="0087273C" w:rsidRDefault="00DB1546" w:rsidP="00306714">
            <w:pPr>
              <w:spacing w:after="0" w:line="480" w:lineRule="auto"/>
              <w:jc w:val="center"/>
              <w:rPr>
                <w:rFonts w:ascii="Times New Roman" w:eastAsia="宋体" w:hAnsi="Times New Roman" w:cs="Times New Roman"/>
                <w:color w:val="000000"/>
                <w:sz w:val="24"/>
                <w:szCs w:val="24"/>
              </w:rPr>
            </w:pPr>
            <w:r w:rsidRPr="0087273C">
              <w:rPr>
                <w:rFonts w:ascii="Times New Roman" w:eastAsia="宋体" w:hAnsi="Times New Roman" w:cs="Times New Roman" w:hint="eastAsia"/>
                <w:color w:val="000000"/>
                <w:sz w:val="24"/>
                <w:szCs w:val="24"/>
              </w:rPr>
              <w:t>&lt;</w:t>
            </w:r>
            <w:r w:rsidRPr="0087273C">
              <w:rPr>
                <w:rFonts w:ascii="Times New Roman" w:eastAsia="宋体" w:hAnsi="Times New Roman" w:cs="Times New Roman"/>
                <w:color w:val="000000"/>
                <w:sz w:val="24"/>
                <w:szCs w:val="24"/>
              </w:rPr>
              <w:t>0.00</w:t>
            </w:r>
            <w:r w:rsidRPr="0087273C">
              <w:rPr>
                <w:rFonts w:ascii="Times New Roman" w:eastAsia="宋体" w:hAnsi="Times New Roman" w:cs="Times New Roman" w:hint="eastAsia"/>
                <w:color w:val="000000"/>
                <w:sz w:val="24"/>
                <w:szCs w:val="24"/>
              </w:rPr>
              <w:t>1</w:t>
            </w:r>
          </w:p>
        </w:tc>
        <w:tc>
          <w:tcPr>
            <w:tcW w:w="1134" w:type="dxa"/>
            <w:tcBorders>
              <w:top w:val="nil"/>
              <w:left w:val="nil"/>
              <w:right w:val="nil"/>
            </w:tcBorders>
            <w:shd w:val="clear" w:color="auto" w:fill="FFFFFF" w:themeFill="background1"/>
          </w:tcPr>
          <w:p w14:paraId="12E4F557" w14:textId="77777777" w:rsidR="00DB1546" w:rsidRPr="0087273C" w:rsidRDefault="00DB1546" w:rsidP="00306714">
            <w:pPr>
              <w:spacing w:after="0" w:line="480" w:lineRule="auto"/>
              <w:jc w:val="center"/>
              <w:rPr>
                <w:rFonts w:ascii="Times New Roman" w:eastAsia="宋体" w:hAnsi="Times New Roman" w:cs="Times New Roman"/>
                <w:color w:val="000000"/>
                <w:sz w:val="24"/>
                <w:szCs w:val="24"/>
              </w:rPr>
            </w:pPr>
            <w:r w:rsidRPr="0087273C">
              <w:rPr>
                <w:rFonts w:ascii="Times New Roman" w:eastAsia="宋体" w:hAnsi="Times New Roman" w:cs="Times New Roman"/>
                <w:color w:val="000000"/>
                <w:sz w:val="24"/>
                <w:szCs w:val="24"/>
              </w:rPr>
              <w:t>&lt;0.001</w:t>
            </w:r>
          </w:p>
        </w:tc>
      </w:tr>
    </w:tbl>
    <w:p w14:paraId="316A2192" w14:textId="77777777" w:rsidR="00DB1546" w:rsidRDefault="00DB1546"/>
    <w:sectPr w:rsidR="00DB154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B8F5D6" w14:textId="77777777" w:rsidR="00D378DA" w:rsidRDefault="00D378DA" w:rsidP="0039201A">
      <w:pPr>
        <w:spacing w:after="0" w:line="240" w:lineRule="auto"/>
      </w:pPr>
      <w:r>
        <w:separator/>
      </w:r>
    </w:p>
  </w:endnote>
  <w:endnote w:type="continuationSeparator" w:id="0">
    <w:p w14:paraId="0432AAF8" w14:textId="77777777" w:rsidR="00D378DA" w:rsidRDefault="00D378DA" w:rsidP="003920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4382C6" w14:textId="77777777" w:rsidR="00D378DA" w:rsidRDefault="00D378DA" w:rsidP="0039201A">
      <w:pPr>
        <w:spacing w:after="0" w:line="240" w:lineRule="auto"/>
      </w:pPr>
      <w:r>
        <w:separator/>
      </w:r>
    </w:p>
  </w:footnote>
  <w:footnote w:type="continuationSeparator" w:id="0">
    <w:p w14:paraId="03DD56B2" w14:textId="77777777" w:rsidR="00D378DA" w:rsidRDefault="00D378DA" w:rsidP="0039201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47FB"/>
    <w:rsid w:val="0039201A"/>
    <w:rsid w:val="004C47FB"/>
    <w:rsid w:val="00870C1C"/>
    <w:rsid w:val="008F15D0"/>
    <w:rsid w:val="009C531C"/>
    <w:rsid w:val="00D3723C"/>
    <w:rsid w:val="00D378DA"/>
    <w:rsid w:val="00D77892"/>
    <w:rsid w:val="00DB1546"/>
    <w:rsid w:val="00E76824"/>
    <w:rsid w:val="00F142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822499"/>
  <w15:chartTrackingRefBased/>
  <w15:docId w15:val="{A10BEDB8-B08E-4461-9C35-531B8B184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9201A"/>
    <w:pPr>
      <w:spacing w:after="160" w:line="259" w:lineRule="auto"/>
    </w:pPr>
    <w:rPr>
      <w:kern w:val="0"/>
      <w:sz w:val="22"/>
      <w14:ligatures w14:val="none"/>
    </w:rPr>
  </w:style>
  <w:style w:type="paragraph" w:styleId="2">
    <w:name w:val="heading 2"/>
    <w:basedOn w:val="a"/>
    <w:next w:val="a"/>
    <w:link w:val="20"/>
    <w:uiPriority w:val="9"/>
    <w:unhideWhenUsed/>
    <w:qFormat/>
    <w:rsid w:val="00DB1546"/>
    <w:pPr>
      <w:spacing w:after="0" w:line="360" w:lineRule="auto"/>
      <w:outlineLvl w:val="1"/>
    </w:pPr>
    <w:rPr>
      <w:rFonts w:ascii="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9201A"/>
    <w:pPr>
      <w:widowControl w:val="0"/>
      <w:pBdr>
        <w:bottom w:val="single" w:sz="6" w:space="1" w:color="auto"/>
      </w:pBdr>
      <w:tabs>
        <w:tab w:val="center" w:pos="4153"/>
        <w:tab w:val="right" w:pos="8306"/>
      </w:tabs>
      <w:snapToGrid w:val="0"/>
      <w:spacing w:after="0" w:line="240" w:lineRule="auto"/>
      <w:jc w:val="center"/>
    </w:pPr>
    <w:rPr>
      <w:kern w:val="2"/>
      <w:sz w:val="18"/>
      <w:szCs w:val="18"/>
      <w14:ligatures w14:val="standardContextual"/>
    </w:rPr>
  </w:style>
  <w:style w:type="character" w:customStyle="1" w:styleId="a4">
    <w:name w:val="页眉 字符"/>
    <w:basedOn w:val="a0"/>
    <w:link w:val="a3"/>
    <w:uiPriority w:val="99"/>
    <w:rsid w:val="0039201A"/>
    <w:rPr>
      <w:sz w:val="18"/>
      <w:szCs w:val="18"/>
    </w:rPr>
  </w:style>
  <w:style w:type="paragraph" w:styleId="a5">
    <w:name w:val="footer"/>
    <w:basedOn w:val="a"/>
    <w:link w:val="a6"/>
    <w:uiPriority w:val="99"/>
    <w:unhideWhenUsed/>
    <w:rsid w:val="0039201A"/>
    <w:pPr>
      <w:widowControl w:val="0"/>
      <w:tabs>
        <w:tab w:val="center" w:pos="4153"/>
        <w:tab w:val="right" w:pos="8306"/>
      </w:tabs>
      <w:snapToGrid w:val="0"/>
      <w:spacing w:after="0" w:line="240" w:lineRule="auto"/>
    </w:pPr>
    <w:rPr>
      <w:kern w:val="2"/>
      <w:sz w:val="18"/>
      <w:szCs w:val="18"/>
      <w14:ligatures w14:val="standardContextual"/>
    </w:rPr>
  </w:style>
  <w:style w:type="character" w:customStyle="1" w:styleId="a6">
    <w:name w:val="页脚 字符"/>
    <w:basedOn w:val="a0"/>
    <w:link w:val="a5"/>
    <w:uiPriority w:val="99"/>
    <w:rsid w:val="0039201A"/>
    <w:rPr>
      <w:sz w:val="18"/>
      <w:szCs w:val="18"/>
    </w:rPr>
  </w:style>
  <w:style w:type="table" w:styleId="a7">
    <w:name w:val="Table Grid"/>
    <w:basedOn w:val="a1"/>
    <w:uiPriority w:val="39"/>
    <w:qFormat/>
    <w:rsid w:val="00DB1546"/>
    <w:rPr>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标题 2 字符"/>
    <w:basedOn w:val="a0"/>
    <w:link w:val="2"/>
    <w:uiPriority w:val="9"/>
    <w:rsid w:val="00DB1546"/>
    <w:rPr>
      <w:rFonts w:ascii="Times New Roman" w:hAnsi="Times New Roman" w:cs="Times New Roman"/>
      <w:b/>
      <w:bCs/>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326</Words>
  <Characters>1862</Characters>
  <Application>Microsoft Office Word</Application>
  <DocSecurity>0</DocSecurity>
  <Lines>15</Lines>
  <Paragraphs>4</Paragraphs>
  <ScaleCrop>false</ScaleCrop>
  <Company/>
  <LinksUpToDate>false</LinksUpToDate>
  <CharactersWithSpaces>2184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张 碧旸</dc:creator>
  <cp:keywords/>
  <dc:description/>
  <cp:lastModifiedBy>然 徐</cp:lastModifiedBy>
  <cp:revision>3</cp:revision>
  <dcterms:created xsi:type="dcterms:W3CDTF">2024-04-23T08:35:00Z</dcterms:created>
  <dcterms:modified xsi:type="dcterms:W3CDTF">2024-04-23T09:06:00Z</dcterms:modified>
</cp:coreProperties>
</file>