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BD1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 Bold" w:hAnsi="Times New Roman Bold" w:cs="Times New Roman Bold"/>
          <w:b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Times New Roman Bold" w:hAnsi="Times New Roman Bold" w:cs="Times New Roman Bold"/>
          <w:b/>
          <w:bCs w:val="0"/>
          <w:i w:val="0"/>
          <w:iCs w:val="0"/>
          <w:sz w:val="28"/>
          <w:szCs w:val="28"/>
          <w:lang w:val="en-US" w:eastAsia="zh-CN"/>
        </w:rPr>
        <w:t>Supplementary materials</w:t>
      </w:r>
    </w:p>
    <w:p w14:paraId="10EFEB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vertAlign w:val="superscript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Supplementary Table 1: Definition of postoperative pulmonary complications according to the European Perioperative Clinical Outcome definitions (EPCO).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vertAlign w:val="superscript"/>
          <w:lang w:val="en-US" w:eastAsia="zh-CN"/>
        </w:rPr>
        <w:fldChar w:fldCharType="begin"/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vertAlign w:val="superscript"/>
          <w:lang w:val="en-US" w:eastAsia="zh-CN"/>
        </w:rPr>
        <w:instrText xml:space="preserve"> REF _Ref1799548704 \r \h </w:instrTex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vertAlign w:val="superscript"/>
          <w:lang w:val="en-US" w:eastAsia="zh-CN"/>
        </w:rPr>
        <w:fldChar w:fldCharType="separate"/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vertAlign w:val="superscript"/>
          <w:lang w:val="en-US" w:eastAsia="zh-CN"/>
        </w:rPr>
        <w:t>[21]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vertAlign w:val="superscript"/>
          <w:lang w:val="en-US" w:eastAsia="zh-CN"/>
        </w:rPr>
        <w:fldChar w:fldCharType="end"/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6450"/>
      </w:tblGrid>
      <w:tr w14:paraId="3B834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  <w:tcBorders>
              <w:top w:val="single" w:color="auto" w:sz="12" w:space="0"/>
              <w:bottom w:val="single" w:color="auto" w:sz="6" w:space="0"/>
            </w:tcBorders>
          </w:tcPr>
          <w:p w14:paraId="061AC8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  <w:t>Complication</w:t>
            </w:r>
          </w:p>
        </w:tc>
        <w:tc>
          <w:tcPr>
            <w:tcW w:w="6450" w:type="dxa"/>
            <w:tcBorders>
              <w:top w:val="single" w:color="auto" w:sz="12" w:space="0"/>
              <w:bottom w:val="single" w:color="auto" w:sz="6" w:space="0"/>
            </w:tcBorders>
          </w:tcPr>
          <w:p w14:paraId="32425F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  <w:t>Definition</w:t>
            </w:r>
          </w:p>
        </w:tc>
      </w:tr>
      <w:tr w14:paraId="0070D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  <w:tcBorders>
              <w:top w:val="single" w:color="auto" w:sz="6" w:space="0"/>
            </w:tcBorders>
          </w:tcPr>
          <w:p w14:paraId="29EFFE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Respiratory infection</w:t>
            </w:r>
          </w:p>
        </w:tc>
        <w:tc>
          <w:tcPr>
            <w:tcW w:w="6450" w:type="dxa"/>
            <w:tcBorders>
              <w:top w:val="single" w:color="auto" w:sz="6" w:space="0"/>
            </w:tcBorders>
          </w:tcPr>
          <w:p w14:paraId="71BD08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Patient has received antibiotics for a suspected respiratory infection and met one or more of the following criteria: new or changed sputum, </w:t>
            </w:r>
          </w:p>
          <w:p w14:paraId="7BCFFB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new or changed lung opacities, fever, white blood cell count </w:t>
            </w:r>
            <w:r>
              <w:rPr>
                <w:rFonts w:hint="default" w:ascii="Times New Roman Regular" w:hAnsi="Times New Roman Regular" w:eastAsia="AdvP4C4E51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&gt; 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12×10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/L</w:t>
            </w:r>
          </w:p>
        </w:tc>
      </w:tr>
      <w:tr w14:paraId="62DA9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</w:tcPr>
          <w:p w14:paraId="70D5D6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Respiratory failure</w:t>
            </w:r>
          </w:p>
        </w:tc>
        <w:tc>
          <w:tcPr>
            <w:tcW w:w="6450" w:type="dxa"/>
          </w:tcPr>
          <w:p w14:paraId="44124D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Postoperative PaO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AdvP4C4E51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 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8 kPa (60mmHg) on room air, a PaO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/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Fi0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ratio </w:t>
            </w:r>
            <w:r>
              <w:rPr>
                <w:rFonts w:hint="default" w:ascii="Times New Roman Regular" w:hAnsi="Times New Roman Regular" w:eastAsia="AdvP4C4E51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&lt;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40 kPa (300mmHg) or arterial oxyhaemoglobin saturation measured with pulse oximetry </w:t>
            </w:r>
            <w:r>
              <w:rPr>
                <w:rFonts w:hint="default" w:ascii="Times New Roman Regular" w:hAnsi="Times New Roman Regular" w:eastAsia="AdvP4C4E51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 </w:t>
            </w: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90% and requiring oxygen therapy</w:t>
            </w:r>
          </w:p>
        </w:tc>
      </w:tr>
      <w:tr w14:paraId="6751A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</w:tcPr>
          <w:p w14:paraId="259E53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Pleural effusion</w:t>
            </w:r>
          </w:p>
        </w:tc>
        <w:tc>
          <w:tcPr>
            <w:tcW w:w="6450" w:type="dxa"/>
          </w:tcPr>
          <w:p w14:paraId="3F2AE5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Chest radiograph demonstrating blunting of the costophrenic angle, loss of sharp silhouette of the ipsilateral hemidiaphragm in upright position, evidence of displacement of adjacent anatomical structures or (in supine position) a hazy opacity in one hemithorax with preserved vascular shadows</w:t>
            </w:r>
          </w:p>
        </w:tc>
      </w:tr>
      <w:tr w14:paraId="31C2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</w:tcPr>
          <w:p w14:paraId="512959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Atelectasis</w:t>
            </w:r>
          </w:p>
        </w:tc>
        <w:tc>
          <w:tcPr>
            <w:tcW w:w="6450" w:type="dxa"/>
          </w:tcPr>
          <w:p w14:paraId="62817F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Lung opacification with a shift of the mediastinum, hilum or hemidiaphragm toward the affected area, and compensatory over-inflation in the adjacent non-atelectatic lung</w:t>
            </w:r>
          </w:p>
        </w:tc>
      </w:tr>
      <w:tr w14:paraId="25CF8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</w:tcPr>
          <w:p w14:paraId="4326D2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Pneumothorax</w:t>
            </w:r>
          </w:p>
        </w:tc>
        <w:tc>
          <w:tcPr>
            <w:tcW w:w="6450" w:type="dxa"/>
          </w:tcPr>
          <w:p w14:paraId="2C4ADF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Air in the pleural space with no vascular bed surrounding the visceral pleura</w:t>
            </w:r>
          </w:p>
        </w:tc>
      </w:tr>
      <w:tr w14:paraId="4414F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</w:tcPr>
          <w:p w14:paraId="44E2D5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Bronchospasm</w:t>
            </w:r>
          </w:p>
        </w:tc>
        <w:tc>
          <w:tcPr>
            <w:tcW w:w="6450" w:type="dxa"/>
          </w:tcPr>
          <w:p w14:paraId="4C5D5F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Newly detected expiratory wheezing treated with bronchodilators</w:t>
            </w:r>
          </w:p>
        </w:tc>
      </w:tr>
      <w:tr w14:paraId="26CAD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72" w:type="dxa"/>
            <w:tcBorders>
              <w:bottom w:val="single" w:color="auto" w:sz="12" w:space="0"/>
            </w:tcBorders>
          </w:tcPr>
          <w:p w14:paraId="5AE549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Aspiration pneumonitis</w:t>
            </w:r>
          </w:p>
        </w:tc>
        <w:tc>
          <w:tcPr>
            <w:tcW w:w="6450" w:type="dxa"/>
            <w:tcBorders>
              <w:bottom w:val="single" w:color="auto" w:sz="12" w:space="0"/>
            </w:tcBorders>
          </w:tcPr>
          <w:p w14:paraId="67BA71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AdvOTbf7bbdaa" w:cs="Times New Roman Regular"/>
                <w:color w:val="231F2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AdvP405AA6" w:cs="Times New Roman Regular"/>
                <w:color w:val="000000"/>
                <w:kern w:val="0"/>
                <w:sz w:val="22"/>
                <w:szCs w:val="22"/>
                <w:lang w:val="en-US" w:eastAsia="zh-CN" w:bidi="ar"/>
              </w:rPr>
              <w:t>Acute lung injury after the inhalation of regurgitated gastric contents</w:t>
            </w:r>
          </w:p>
        </w:tc>
      </w:tr>
    </w:tbl>
    <w:p w14:paraId="12FCB1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4"/>
          <w:szCs w:val="24"/>
          <w:lang w:val="en-US" w:eastAsia="zh-CN"/>
        </w:rPr>
      </w:pPr>
    </w:p>
    <w:p w14:paraId="7A5DFA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 xml:space="preserve">Supplementary Table </w:t>
      </w:r>
      <w:r>
        <w:rPr>
          <w:rFonts w:hint="eastAsia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 xml:space="preserve">: Postoperative pulmonary complications within seven days after surgery, length of hospital stay, ICU admission and </w:t>
      </w:r>
      <w:r>
        <w:rPr>
          <w:rFonts w:hint="default" w:ascii="Times New Roman Regular" w:hAnsi="Times New Roman Regular" w:cs="Times New Roman Regular"/>
          <w:sz w:val="22"/>
          <w:szCs w:val="22"/>
          <w:vertAlign w:val="baseline"/>
          <w:lang w:val="en-US" w:eastAsia="zh-CN"/>
        </w:rPr>
        <w:t>30-day mortality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1921"/>
        <w:gridCol w:w="2128"/>
        <w:gridCol w:w="2108"/>
      </w:tblGrid>
      <w:tr w14:paraId="1AE9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  <w:tcBorders>
              <w:top w:val="single" w:color="000000" w:sz="12" w:space="0"/>
              <w:bottom w:val="single" w:color="000000" w:sz="6" w:space="0"/>
            </w:tcBorders>
          </w:tcPr>
          <w:p w14:paraId="78525324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1880" w:type="dxa"/>
            <w:tcBorders>
              <w:top w:val="single" w:color="000000" w:sz="12" w:space="0"/>
              <w:bottom w:val="single" w:color="000000" w:sz="6" w:space="0"/>
            </w:tcBorders>
          </w:tcPr>
          <w:p w14:paraId="63ED11B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TEA group</w:t>
            </w:r>
          </w:p>
          <w:p w14:paraId="1E53F2D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(n=30)</w:t>
            </w:r>
          </w:p>
        </w:tc>
        <w:tc>
          <w:tcPr>
            <w:tcW w:w="2131" w:type="dxa"/>
            <w:tcBorders>
              <w:top w:val="single" w:color="000000" w:sz="12" w:space="0"/>
              <w:bottom w:val="single" w:color="000000" w:sz="6" w:space="0"/>
            </w:tcBorders>
          </w:tcPr>
          <w:p w14:paraId="5CB5D37A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Conventional group</w:t>
            </w:r>
          </w:p>
          <w:p w14:paraId="494C40B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(n=30)</w:t>
            </w:r>
          </w:p>
        </w:tc>
        <w:tc>
          <w:tcPr>
            <w:tcW w:w="2131" w:type="dxa"/>
            <w:tcBorders>
              <w:top w:val="single" w:color="000000" w:sz="12" w:space="0"/>
              <w:bottom w:val="single" w:color="000000" w:sz="6" w:space="0"/>
            </w:tcBorders>
          </w:tcPr>
          <w:p w14:paraId="58E4880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 value</w:t>
            </w:r>
          </w:p>
        </w:tc>
      </w:tr>
      <w:tr w14:paraId="5A10D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  <w:tcBorders>
              <w:top w:val="single" w:color="000000" w:sz="6" w:space="0"/>
            </w:tcBorders>
          </w:tcPr>
          <w:p w14:paraId="649A4C53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Secondary outcome</w:t>
            </w:r>
          </w:p>
        </w:tc>
        <w:tc>
          <w:tcPr>
            <w:tcW w:w="1880" w:type="dxa"/>
            <w:tcBorders>
              <w:top w:val="single" w:color="000000" w:sz="6" w:space="0"/>
            </w:tcBorders>
          </w:tcPr>
          <w:p w14:paraId="5885DED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single" w:color="000000" w:sz="6" w:space="0"/>
            </w:tcBorders>
          </w:tcPr>
          <w:p w14:paraId="4E82A0B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single" w:color="000000" w:sz="6" w:space="0"/>
            </w:tcBorders>
          </w:tcPr>
          <w:p w14:paraId="5D9E8DD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5E4E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</w:tcPr>
          <w:p w14:paraId="57FB9F3E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PPCs</w:t>
            </w:r>
          </w:p>
        </w:tc>
        <w:tc>
          <w:tcPr>
            <w:tcW w:w="1880" w:type="dxa"/>
          </w:tcPr>
          <w:p w14:paraId="3C93EA2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8(26.7%)</w:t>
            </w:r>
          </w:p>
        </w:tc>
        <w:tc>
          <w:tcPr>
            <w:tcW w:w="2131" w:type="dxa"/>
          </w:tcPr>
          <w:p w14:paraId="78068E0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12(40.0%)</w:t>
            </w:r>
          </w:p>
        </w:tc>
        <w:tc>
          <w:tcPr>
            <w:tcW w:w="2131" w:type="dxa"/>
          </w:tcPr>
          <w:p w14:paraId="5E193DC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0.273</w:t>
            </w:r>
          </w:p>
        </w:tc>
      </w:tr>
      <w:tr w14:paraId="4A3E6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</w:tcPr>
          <w:p w14:paraId="4A4C9144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Respiratory failure</w:t>
            </w:r>
          </w:p>
        </w:tc>
        <w:tc>
          <w:tcPr>
            <w:tcW w:w="1880" w:type="dxa"/>
          </w:tcPr>
          <w:p w14:paraId="3F8E200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</w:tcPr>
          <w:p w14:paraId="761A5F7A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1（3.3%）</w:t>
            </w:r>
          </w:p>
        </w:tc>
        <w:tc>
          <w:tcPr>
            <w:tcW w:w="2131" w:type="dxa"/>
          </w:tcPr>
          <w:p w14:paraId="288E5BC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0.313</w:t>
            </w:r>
          </w:p>
        </w:tc>
      </w:tr>
      <w:tr w14:paraId="35087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</w:tcPr>
          <w:p w14:paraId="5A3541AF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Atelectasis</w:t>
            </w:r>
          </w:p>
        </w:tc>
        <w:tc>
          <w:tcPr>
            <w:tcW w:w="1880" w:type="dxa"/>
          </w:tcPr>
          <w:p w14:paraId="532D88E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5（16.7%）</w:t>
            </w:r>
          </w:p>
        </w:tc>
        <w:tc>
          <w:tcPr>
            <w:tcW w:w="2131" w:type="dxa"/>
          </w:tcPr>
          <w:p w14:paraId="00EF092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40.0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%）</w:t>
            </w:r>
          </w:p>
        </w:tc>
        <w:tc>
          <w:tcPr>
            <w:tcW w:w="2131" w:type="dxa"/>
          </w:tcPr>
          <w:p w14:paraId="31C3C81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</w:tr>
      <w:tr w14:paraId="43CB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</w:tcPr>
          <w:p w14:paraId="4EA5D827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Pleural effusion</w:t>
            </w:r>
          </w:p>
        </w:tc>
        <w:tc>
          <w:tcPr>
            <w:tcW w:w="1880" w:type="dxa"/>
          </w:tcPr>
          <w:p w14:paraId="51CA33F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6（20%）</w:t>
            </w:r>
          </w:p>
        </w:tc>
        <w:tc>
          <w:tcPr>
            <w:tcW w:w="2131" w:type="dxa"/>
          </w:tcPr>
          <w:p w14:paraId="4BC4A08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9（30%）</w:t>
            </w:r>
          </w:p>
        </w:tc>
        <w:tc>
          <w:tcPr>
            <w:tcW w:w="2131" w:type="dxa"/>
          </w:tcPr>
          <w:p w14:paraId="42151B45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0.371</w:t>
            </w:r>
          </w:p>
        </w:tc>
      </w:tr>
      <w:tr w14:paraId="195DA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</w:tcPr>
          <w:p w14:paraId="7E77BDA4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Respiratory infection</w:t>
            </w:r>
          </w:p>
        </w:tc>
        <w:tc>
          <w:tcPr>
            <w:tcW w:w="1880" w:type="dxa"/>
          </w:tcPr>
          <w:p w14:paraId="6359277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6（20%）</w:t>
            </w:r>
          </w:p>
        </w:tc>
        <w:tc>
          <w:tcPr>
            <w:tcW w:w="2131" w:type="dxa"/>
          </w:tcPr>
          <w:p w14:paraId="3898186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11（36.7%）</w:t>
            </w:r>
          </w:p>
        </w:tc>
        <w:tc>
          <w:tcPr>
            <w:tcW w:w="2131" w:type="dxa"/>
          </w:tcPr>
          <w:p w14:paraId="43078211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0.152</w:t>
            </w:r>
          </w:p>
        </w:tc>
      </w:tr>
      <w:tr w14:paraId="57D19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</w:tcPr>
          <w:p w14:paraId="16225629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Bronchospasm</w:t>
            </w:r>
          </w:p>
        </w:tc>
        <w:tc>
          <w:tcPr>
            <w:tcW w:w="1880" w:type="dxa"/>
            <w:vAlign w:val="top"/>
          </w:tcPr>
          <w:p w14:paraId="2439C3F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  <w:vAlign w:val="top"/>
          </w:tcPr>
          <w:p w14:paraId="7F333BD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  <w:vAlign w:val="top"/>
          </w:tcPr>
          <w:p w14:paraId="1E0742F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NA</w:t>
            </w:r>
          </w:p>
        </w:tc>
      </w:tr>
      <w:tr w14:paraId="3AB9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</w:tcPr>
          <w:p w14:paraId="04F5AD97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Aspiration pneumonitis</w:t>
            </w:r>
          </w:p>
        </w:tc>
        <w:tc>
          <w:tcPr>
            <w:tcW w:w="1880" w:type="dxa"/>
          </w:tcPr>
          <w:p w14:paraId="6A859C8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</w:tcPr>
          <w:p w14:paraId="584EE9F5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1（3.3%）</w:t>
            </w:r>
          </w:p>
        </w:tc>
        <w:tc>
          <w:tcPr>
            <w:tcW w:w="2131" w:type="dxa"/>
          </w:tcPr>
          <w:p w14:paraId="22D4EEC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0.313</w:t>
            </w:r>
          </w:p>
        </w:tc>
      </w:tr>
      <w:tr w14:paraId="16093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  <w:tcBorders>
              <w:bottom w:val="single" w:color="auto" w:sz="6" w:space="0"/>
            </w:tcBorders>
          </w:tcPr>
          <w:p w14:paraId="77898D9A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Pneumothorax</w:t>
            </w:r>
          </w:p>
        </w:tc>
        <w:tc>
          <w:tcPr>
            <w:tcW w:w="1880" w:type="dxa"/>
            <w:tcBorders>
              <w:bottom w:val="single" w:color="auto" w:sz="6" w:space="0"/>
            </w:tcBorders>
          </w:tcPr>
          <w:p w14:paraId="7BE7B01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  <w:tcBorders>
              <w:bottom w:val="single" w:color="auto" w:sz="6" w:space="0"/>
            </w:tcBorders>
          </w:tcPr>
          <w:p w14:paraId="1FB7195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  <w:tcBorders>
              <w:bottom w:val="single" w:color="auto" w:sz="6" w:space="0"/>
            </w:tcBorders>
          </w:tcPr>
          <w:p w14:paraId="71B4264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NA</w:t>
            </w:r>
          </w:p>
        </w:tc>
      </w:tr>
      <w:tr w14:paraId="0076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  <w:vMerge w:val="restart"/>
            <w:tcBorders>
              <w:top w:val="single" w:color="auto" w:sz="6" w:space="0"/>
            </w:tcBorders>
          </w:tcPr>
          <w:p w14:paraId="404C9A28">
            <w:pP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Length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 xml:space="preserve"> of hospital stay</w:t>
            </w:r>
          </w:p>
          <w:p w14:paraId="004EDDB9">
            <w:pP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i w:val="0"/>
                <w:iCs w:val="0"/>
                <w:sz w:val="22"/>
                <w:szCs w:val="22"/>
                <w:lang w:val="en-US" w:eastAsia="zh-CN"/>
              </w:rPr>
              <w:t>ICU admission</w:t>
            </w:r>
          </w:p>
        </w:tc>
        <w:tc>
          <w:tcPr>
            <w:tcW w:w="1880" w:type="dxa"/>
            <w:vMerge w:val="restart"/>
            <w:tcBorders>
              <w:top w:val="single" w:color="auto" w:sz="6" w:space="0"/>
            </w:tcBorders>
          </w:tcPr>
          <w:p w14:paraId="46DF1C4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16.00[12.00-22.00]</w:t>
            </w:r>
          </w:p>
          <w:p w14:paraId="498C2EA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3 (10%)</w:t>
            </w:r>
          </w:p>
        </w:tc>
        <w:tc>
          <w:tcPr>
            <w:tcW w:w="2131" w:type="dxa"/>
            <w:tcBorders>
              <w:top w:val="single" w:color="auto" w:sz="6" w:space="0"/>
              <w:bottom w:val="nil"/>
            </w:tcBorders>
          </w:tcPr>
          <w:p w14:paraId="0F52698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15.00[11.75-19.25]</w:t>
            </w:r>
          </w:p>
        </w:tc>
        <w:tc>
          <w:tcPr>
            <w:tcW w:w="2131" w:type="dxa"/>
            <w:tcBorders>
              <w:top w:val="single" w:color="auto" w:sz="6" w:space="0"/>
              <w:bottom w:val="nil"/>
            </w:tcBorders>
          </w:tcPr>
          <w:p w14:paraId="4D37ED8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0.382</w:t>
            </w:r>
          </w:p>
        </w:tc>
      </w:tr>
      <w:tr w14:paraId="4244B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  <w:vMerge w:val="continue"/>
            <w:tcBorders>
              <w:bottom w:val="nil"/>
            </w:tcBorders>
          </w:tcPr>
          <w:p w14:paraId="2F6F0CDF">
            <w:pP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vMerge w:val="continue"/>
            <w:tcBorders>
              <w:bottom w:val="nil"/>
            </w:tcBorders>
          </w:tcPr>
          <w:p w14:paraId="1024D27A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4EF1D3B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 (6.7%)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52D80CF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0.640</w:t>
            </w:r>
          </w:p>
        </w:tc>
      </w:tr>
      <w:tr w14:paraId="3DDA6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80" w:type="dxa"/>
            <w:tcBorders>
              <w:top w:val="nil"/>
              <w:bottom w:val="single" w:color="000000" w:sz="12" w:space="0"/>
            </w:tcBorders>
          </w:tcPr>
          <w:p w14:paraId="45DEBFAD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30-day mortality</w:t>
            </w:r>
          </w:p>
        </w:tc>
        <w:tc>
          <w:tcPr>
            <w:tcW w:w="1880" w:type="dxa"/>
            <w:tcBorders>
              <w:top w:val="nil"/>
              <w:bottom w:val="single" w:color="000000" w:sz="12" w:space="0"/>
            </w:tcBorders>
          </w:tcPr>
          <w:p w14:paraId="67BC7FAA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 (0%)</w:t>
            </w:r>
          </w:p>
        </w:tc>
        <w:tc>
          <w:tcPr>
            <w:tcW w:w="2131" w:type="dxa"/>
            <w:tcBorders>
              <w:top w:val="nil"/>
              <w:bottom w:val="single" w:color="000000" w:sz="12" w:space="0"/>
            </w:tcBorders>
          </w:tcPr>
          <w:p w14:paraId="46C8AD41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 (3.3%)</w:t>
            </w:r>
          </w:p>
        </w:tc>
        <w:tc>
          <w:tcPr>
            <w:tcW w:w="2131" w:type="dxa"/>
            <w:tcBorders>
              <w:top w:val="nil"/>
              <w:bottom w:val="single" w:color="000000" w:sz="12" w:space="0"/>
            </w:tcBorders>
          </w:tcPr>
          <w:p w14:paraId="7C64C53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0.313</w:t>
            </w:r>
          </w:p>
        </w:tc>
      </w:tr>
    </w:tbl>
    <w:p w14:paraId="44D96592">
      <w:pPr>
        <w:keepNext w:val="0"/>
        <w:keepLines w:val="0"/>
        <w:widowControl/>
        <w:suppressLineNumbers w:val="0"/>
        <w:jc w:val="left"/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</w:pPr>
      <w:r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  <w:t>Data are expressed as number (percentage). TEA, thoracic epidural anesthesia; PPCs, postoperative pulmonary complications.</w:t>
      </w:r>
    </w:p>
    <w:p w14:paraId="18265968">
      <w:pPr>
        <w:keepNext w:val="0"/>
        <w:keepLines w:val="0"/>
        <w:widowControl/>
        <w:suppressLineNumbers w:val="0"/>
        <w:jc w:val="left"/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</w:pPr>
    </w:p>
    <w:p w14:paraId="081CDE9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 xml:space="preserve">Supplementary Table </w:t>
      </w:r>
      <w:r>
        <w:rPr>
          <w:rFonts w:hint="eastAsia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3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: Characteristics of intraoperative Ventilator Parameters.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995"/>
        <w:gridCol w:w="1915"/>
        <w:gridCol w:w="1324"/>
      </w:tblGrid>
      <w:tr w14:paraId="3CA8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88" w:type="dxa"/>
            <w:tcBorders>
              <w:top w:val="single" w:color="000000" w:sz="12" w:space="0"/>
              <w:bottom w:val="single" w:color="000000" w:sz="6" w:space="0"/>
            </w:tcBorders>
          </w:tcPr>
          <w:p w14:paraId="2555044F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1995" w:type="dxa"/>
            <w:tcBorders>
              <w:top w:val="single" w:color="000000" w:sz="12" w:space="0"/>
              <w:bottom w:val="single" w:color="000000" w:sz="6" w:space="0"/>
            </w:tcBorders>
            <w:vAlign w:val="top"/>
          </w:tcPr>
          <w:p w14:paraId="1E13852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TEA group</w:t>
            </w:r>
          </w:p>
          <w:p w14:paraId="1F7A848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(n=30)</w:t>
            </w:r>
          </w:p>
        </w:tc>
        <w:tc>
          <w:tcPr>
            <w:tcW w:w="1915" w:type="dxa"/>
            <w:tcBorders>
              <w:top w:val="single" w:color="000000" w:sz="12" w:space="0"/>
              <w:bottom w:val="single" w:color="000000" w:sz="6" w:space="0"/>
            </w:tcBorders>
            <w:vAlign w:val="top"/>
          </w:tcPr>
          <w:p w14:paraId="2FD4B26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Conventional group</w:t>
            </w:r>
          </w:p>
          <w:p w14:paraId="21C233F1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(n=30)</w:t>
            </w:r>
          </w:p>
        </w:tc>
        <w:tc>
          <w:tcPr>
            <w:tcW w:w="1324" w:type="dxa"/>
            <w:tcBorders>
              <w:top w:val="single" w:color="000000" w:sz="12" w:space="0"/>
              <w:bottom w:val="single" w:color="000000" w:sz="6" w:space="0"/>
            </w:tcBorders>
          </w:tcPr>
          <w:p w14:paraId="65A1408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 value</w:t>
            </w:r>
          </w:p>
        </w:tc>
      </w:tr>
      <w:tr w14:paraId="37729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88" w:type="dxa"/>
            <w:tcBorders>
              <w:top w:val="single" w:color="000000" w:sz="6" w:space="0"/>
            </w:tcBorders>
          </w:tcPr>
          <w:p w14:paraId="027D4DE0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Songti SC" w:cs="Times New Roman Regular"/>
                <w:sz w:val="22"/>
                <w:szCs w:val="22"/>
                <w:lang w:val="en-US" w:eastAsia="zh-CN"/>
              </w:rPr>
              <w:t>Δ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P (cmH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O)</w:t>
            </w:r>
          </w:p>
          <w:p w14:paraId="29A07DD5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T1</w:t>
            </w:r>
          </w:p>
          <w:p w14:paraId="738F81EF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T2</w:t>
            </w:r>
          </w:p>
          <w:p w14:paraId="0FC86359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T3</w:t>
            </w:r>
          </w:p>
        </w:tc>
        <w:tc>
          <w:tcPr>
            <w:tcW w:w="1995" w:type="dxa"/>
            <w:tcBorders>
              <w:top w:val="single" w:color="000000" w:sz="6" w:space="0"/>
            </w:tcBorders>
          </w:tcPr>
          <w:p w14:paraId="62DE234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7C2522E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11.23±2.19</w:t>
            </w:r>
          </w:p>
          <w:p w14:paraId="30580F5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9.45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±1.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79</w:t>
            </w:r>
          </w:p>
          <w:p w14:paraId="7660A57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12.35±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60</w:t>
            </w:r>
          </w:p>
        </w:tc>
        <w:tc>
          <w:tcPr>
            <w:tcW w:w="1915" w:type="dxa"/>
            <w:tcBorders>
              <w:top w:val="single" w:color="000000" w:sz="6" w:space="0"/>
            </w:tcBorders>
          </w:tcPr>
          <w:p w14:paraId="4015ADC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1B881915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12.67±2.70</w:t>
            </w:r>
          </w:p>
          <w:p w14:paraId="509948D4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10.48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±2.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18</w:t>
            </w:r>
          </w:p>
          <w:p w14:paraId="1D80375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14.00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±2.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324" w:type="dxa"/>
            <w:tcBorders>
              <w:top w:val="single" w:color="000000" w:sz="6" w:space="0"/>
            </w:tcBorders>
          </w:tcPr>
          <w:p w14:paraId="67EA40D5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24188E3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0.028</w:t>
            </w:r>
          </w:p>
          <w:p w14:paraId="3B7462E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0.109</w:t>
            </w:r>
          </w:p>
          <w:p w14:paraId="4986327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</w:tr>
      <w:tr w14:paraId="00C73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88" w:type="dxa"/>
          </w:tcPr>
          <w:p w14:paraId="367C7975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Individualized PEEP (cmH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O)</w:t>
            </w:r>
          </w:p>
          <w:p w14:paraId="65005E70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T1</w:t>
            </w:r>
          </w:p>
          <w:p w14:paraId="4882D473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T2</w:t>
            </w:r>
          </w:p>
          <w:p w14:paraId="03E1485B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T3</w:t>
            </w:r>
          </w:p>
        </w:tc>
        <w:tc>
          <w:tcPr>
            <w:tcW w:w="1995" w:type="dxa"/>
          </w:tcPr>
          <w:p w14:paraId="4F59EBF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628F84D4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9[8-10]</w:t>
            </w:r>
          </w:p>
          <w:p w14:paraId="0B03FBE4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6.5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[5-7]</w:t>
            </w:r>
          </w:p>
          <w:p w14:paraId="3166C07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10[9-10]</w:t>
            </w:r>
          </w:p>
        </w:tc>
        <w:tc>
          <w:tcPr>
            <w:tcW w:w="1915" w:type="dxa"/>
          </w:tcPr>
          <w:p w14:paraId="422C69C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57D5893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9[7-10]</w:t>
            </w:r>
          </w:p>
          <w:p w14:paraId="786DFA0A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7[6-8]</w:t>
            </w:r>
          </w:p>
          <w:p w14:paraId="11E3AAC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10[9.5-11]</w:t>
            </w:r>
          </w:p>
        </w:tc>
        <w:tc>
          <w:tcPr>
            <w:tcW w:w="1324" w:type="dxa"/>
          </w:tcPr>
          <w:p w14:paraId="32167A7A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7B34C3C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0.844</w:t>
            </w:r>
          </w:p>
          <w:p w14:paraId="1778E4B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0.150</w:t>
            </w:r>
          </w:p>
          <w:p w14:paraId="375F25F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0.246</w:t>
            </w:r>
          </w:p>
        </w:tc>
      </w:tr>
      <w:tr w14:paraId="50FE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88" w:type="dxa"/>
          </w:tcPr>
          <w:p w14:paraId="7D3B72C8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 xml:space="preserve">plat 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(cmH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O)</w:t>
            </w:r>
          </w:p>
          <w:p w14:paraId="201B764C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T1</w:t>
            </w:r>
          </w:p>
          <w:p w14:paraId="1EB4B476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T2</w:t>
            </w:r>
          </w:p>
          <w:p w14:paraId="184B9F74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T3</w:t>
            </w:r>
          </w:p>
        </w:tc>
        <w:tc>
          <w:tcPr>
            <w:tcW w:w="1995" w:type="dxa"/>
          </w:tcPr>
          <w:p w14:paraId="7761E374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058A79C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20±3.27</w:t>
            </w:r>
          </w:p>
          <w:p w14:paraId="4C228075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15.65±3.07</w:t>
            </w:r>
          </w:p>
          <w:p w14:paraId="0F8023A5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21.5[20-24]</w:t>
            </w:r>
          </w:p>
        </w:tc>
        <w:tc>
          <w:tcPr>
            <w:tcW w:w="1915" w:type="dxa"/>
          </w:tcPr>
          <w:p w14:paraId="0CFB17D1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4A33BB0E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21.5±3.71</w:t>
            </w:r>
          </w:p>
          <w:p w14:paraId="315E033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17.33±3.24</w:t>
            </w:r>
          </w:p>
          <w:p w14:paraId="26AF48A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24[21-25]</w:t>
            </w:r>
          </w:p>
        </w:tc>
        <w:tc>
          <w:tcPr>
            <w:tcW w:w="1324" w:type="dxa"/>
          </w:tcPr>
          <w:p w14:paraId="5C81B47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1C2A44D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102</w:t>
            </w:r>
          </w:p>
          <w:p w14:paraId="00F8BBA1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0.096</w:t>
            </w:r>
          </w:p>
          <w:p w14:paraId="50FB57E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0.106</w:t>
            </w:r>
          </w:p>
        </w:tc>
      </w:tr>
      <w:tr w14:paraId="5111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88" w:type="dxa"/>
          </w:tcPr>
          <w:p w14:paraId="2F344544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 xml:space="preserve">peak 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(cmH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O)</w:t>
            </w:r>
          </w:p>
          <w:p w14:paraId="041AE415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T1</w:t>
            </w:r>
          </w:p>
          <w:p w14:paraId="5189C709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T2</w:t>
            </w:r>
          </w:p>
          <w:p w14:paraId="76B8BD4D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T3</w:t>
            </w:r>
          </w:p>
        </w:tc>
        <w:tc>
          <w:tcPr>
            <w:tcW w:w="1995" w:type="dxa"/>
          </w:tcPr>
          <w:p w14:paraId="4D748F1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45E3E1B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21.7±3.51</w:t>
            </w:r>
          </w:p>
          <w:p w14:paraId="3D8E631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18.9±3.67</w:t>
            </w:r>
          </w:p>
          <w:p w14:paraId="4904FDC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21.6±3.28</w:t>
            </w:r>
          </w:p>
        </w:tc>
        <w:tc>
          <w:tcPr>
            <w:tcW w:w="1915" w:type="dxa"/>
          </w:tcPr>
          <w:p w14:paraId="2AE0457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03EF8F7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23.07±4.19</w:t>
            </w:r>
          </w:p>
          <w:p w14:paraId="616C1D0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19.1±4.23</w:t>
            </w:r>
          </w:p>
          <w:p w14:paraId="08B6F9D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22.8±3.28</w:t>
            </w:r>
          </w:p>
        </w:tc>
        <w:tc>
          <w:tcPr>
            <w:tcW w:w="1324" w:type="dxa"/>
          </w:tcPr>
          <w:p w14:paraId="72C9C31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74325F9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0.176</w:t>
            </w:r>
          </w:p>
          <w:p w14:paraId="5B97F6E3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0.233</w:t>
            </w:r>
          </w:p>
          <w:p w14:paraId="6AC38E3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0.365</w:t>
            </w:r>
          </w:p>
        </w:tc>
      </w:tr>
      <w:tr w14:paraId="42AF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85" w:hRule="atLeast"/>
        </w:trPr>
        <w:tc>
          <w:tcPr>
            <w:tcW w:w="3288" w:type="dxa"/>
            <w:tcBorders>
              <w:bottom w:val="single" w:color="000000" w:sz="12" w:space="0"/>
            </w:tcBorders>
          </w:tcPr>
          <w:p w14:paraId="0C33017C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 xml:space="preserve">RS 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(ml/cmH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lang w:val="en-US" w:eastAsia="zh-CN"/>
              </w:rPr>
              <w:t>O)</w:t>
            </w:r>
          </w:p>
          <w:p w14:paraId="3774794F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T1</w:t>
            </w:r>
          </w:p>
          <w:p w14:paraId="429569EB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T2</w:t>
            </w:r>
          </w:p>
          <w:p w14:paraId="64536DB3">
            <w:pP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T3</w:t>
            </w:r>
          </w:p>
        </w:tc>
        <w:tc>
          <w:tcPr>
            <w:tcW w:w="1995" w:type="dxa"/>
            <w:tcBorders>
              <w:bottom w:val="single" w:color="000000" w:sz="12" w:space="0"/>
            </w:tcBorders>
          </w:tcPr>
          <w:p w14:paraId="7EBAA6D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1C3A9E5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43.37±5.31</w:t>
            </w:r>
          </w:p>
          <w:p w14:paraId="4661F4D4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7.90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5.61</w:t>
            </w:r>
          </w:p>
          <w:p w14:paraId="3307F47E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1.70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5.59</w:t>
            </w:r>
          </w:p>
        </w:tc>
        <w:tc>
          <w:tcPr>
            <w:tcW w:w="1915" w:type="dxa"/>
            <w:tcBorders>
              <w:bottom w:val="single" w:color="000000" w:sz="12" w:space="0"/>
            </w:tcBorders>
          </w:tcPr>
          <w:p w14:paraId="4B714095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6F5A6D28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40.37±6.02</w:t>
            </w:r>
          </w:p>
          <w:p w14:paraId="0B812C0A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44.43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±5.2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5</w:t>
            </w:r>
          </w:p>
          <w:p w14:paraId="54ABA80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7.38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±5.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70</w:t>
            </w:r>
          </w:p>
        </w:tc>
        <w:tc>
          <w:tcPr>
            <w:tcW w:w="1324" w:type="dxa"/>
            <w:tcBorders>
              <w:bottom w:val="single" w:color="000000" w:sz="12" w:space="0"/>
            </w:tcBorders>
          </w:tcPr>
          <w:p w14:paraId="3865092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</w:p>
          <w:p w14:paraId="471C0A3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0.045</w:t>
            </w:r>
          </w:p>
          <w:p w14:paraId="16FE34CE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47</w:t>
            </w:r>
          </w:p>
          <w:p w14:paraId="130A175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</w:tr>
    </w:tbl>
    <w:p w14:paraId="5B5512D0">
      <w:pPr>
        <w:keepNext w:val="0"/>
        <w:keepLines w:val="0"/>
        <w:widowControl/>
        <w:suppressLineNumbers w:val="0"/>
        <w:jc w:val="left"/>
        <w:rPr>
          <w:rFonts w:hint="default" w:ascii="Times New Roman Italic" w:hAnsi="Times New Roman Italic" w:cs="Times New Roman Italic"/>
          <w:i/>
          <w:iCs/>
          <w:sz w:val="21"/>
          <w:szCs w:val="21"/>
          <w:vertAlign w:val="baseline"/>
          <w:lang w:val="en-US" w:eastAsia="zh-CN"/>
        </w:rPr>
      </w:pPr>
      <w:r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/>
        </w:rPr>
        <w:t xml:space="preserve">T1, </w:t>
      </w:r>
      <w:r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  <w:t>first titration; T2, when pneumoperitoneum is stopped for open specimen retrieval; T3, when pneumoperitoneum is re-established for intraperitoneal hemostasis. TEA, thoracic epidural anesthesia; ΔP,driving pressure; PEEP, positive end-expiratory pressure; Ppeak, peak airway pressure; Pplat, plateau pressure; C</w:t>
      </w:r>
      <w:r>
        <w:rPr>
          <w:rFonts w:hint="default" w:ascii="Times New Roman Italic" w:hAnsi="Times New Roman Italic" w:cs="Times New Roman Italic"/>
          <w:i/>
          <w:iCs/>
          <w:sz w:val="21"/>
          <w:szCs w:val="21"/>
          <w:vertAlign w:val="subscript"/>
          <w:lang w:val="en-US" w:eastAsia="zh-CN"/>
        </w:rPr>
        <w:t>RS</w:t>
      </w:r>
      <w:r>
        <w:rPr>
          <w:rFonts w:hint="default" w:ascii="Times New Roman Italic" w:hAnsi="Times New Roman Italic" w:cs="Times New Roman Italic"/>
          <w:i/>
          <w:iCs/>
          <w:sz w:val="21"/>
          <w:szCs w:val="21"/>
          <w:vertAlign w:val="baseline"/>
          <w:lang w:val="en-US" w:eastAsia="zh-CN"/>
        </w:rPr>
        <w:t>, respiratory system compliance.</w:t>
      </w:r>
    </w:p>
    <w:p w14:paraId="1C08E3FD">
      <w:pPr>
        <w:keepNext w:val="0"/>
        <w:keepLines w:val="0"/>
        <w:widowControl/>
        <w:suppressLineNumbers w:val="0"/>
        <w:jc w:val="left"/>
        <w:rPr>
          <w:rFonts w:hint="default" w:ascii="Times New Roman Italic" w:hAnsi="Times New Roman Italic" w:cs="Times New Roman Italic"/>
          <w:i/>
          <w:iCs/>
          <w:sz w:val="21"/>
          <w:szCs w:val="21"/>
          <w:vertAlign w:val="baseline"/>
          <w:lang w:val="en-US" w:eastAsia="zh-CN"/>
        </w:rPr>
      </w:pPr>
    </w:p>
    <w:p w14:paraId="6556FE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Supplementary Table 4: Characteristics of intraoperative arterial blood gas analysis.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388B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1" w:hRule="atLeast"/>
        </w:trPr>
        <w:tc>
          <w:tcPr>
            <w:tcW w:w="2130" w:type="dxa"/>
            <w:tcBorders>
              <w:top w:val="single" w:color="auto" w:sz="12" w:space="0"/>
              <w:bottom w:val="single" w:color="auto" w:sz="6" w:space="0"/>
            </w:tcBorders>
          </w:tcPr>
          <w:p w14:paraId="359A52A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2130" w:type="dxa"/>
            <w:tcBorders>
              <w:top w:val="single" w:color="auto" w:sz="12" w:space="0"/>
              <w:bottom w:val="single" w:color="auto" w:sz="6" w:space="0"/>
            </w:tcBorders>
          </w:tcPr>
          <w:p w14:paraId="302E62B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TEA group</w:t>
            </w:r>
          </w:p>
          <w:p w14:paraId="1D9E72F9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(n=30)</w:t>
            </w:r>
          </w:p>
        </w:tc>
        <w:tc>
          <w:tcPr>
            <w:tcW w:w="2131" w:type="dxa"/>
            <w:tcBorders>
              <w:top w:val="single" w:color="auto" w:sz="12" w:space="0"/>
              <w:bottom w:val="single" w:color="auto" w:sz="6" w:space="0"/>
            </w:tcBorders>
          </w:tcPr>
          <w:p w14:paraId="2CEE75F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Conventional group</w:t>
            </w:r>
          </w:p>
          <w:p w14:paraId="565B7F4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(n=30)</w:t>
            </w:r>
          </w:p>
        </w:tc>
        <w:tc>
          <w:tcPr>
            <w:tcW w:w="2131" w:type="dxa"/>
            <w:tcBorders>
              <w:top w:val="single" w:color="auto" w:sz="12" w:space="0"/>
              <w:bottom w:val="single" w:color="auto" w:sz="6" w:space="0"/>
            </w:tcBorders>
          </w:tcPr>
          <w:p w14:paraId="71971A5C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 value</w:t>
            </w:r>
          </w:p>
        </w:tc>
      </w:tr>
      <w:tr w14:paraId="77CAF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</w:tcPr>
          <w:p w14:paraId="55E81C67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pH</w:t>
            </w:r>
          </w:p>
        </w:tc>
        <w:tc>
          <w:tcPr>
            <w:tcW w:w="2130" w:type="dxa"/>
          </w:tcPr>
          <w:p w14:paraId="3B04D09E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7.36±0.55</w:t>
            </w:r>
          </w:p>
        </w:tc>
        <w:tc>
          <w:tcPr>
            <w:tcW w:w="2131" w:type="dxa"/>
          </w:tcPr>
          <w:p w14:paraId="502039D0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7.37±0.58</w:t>
            </w:r>
          </w:p>
        </w:tc>
        <w:tc>
          <w:tcPr>
            <w:tcW w:w="2131" w:type="dxa"/>
          </w:tcPr>
          <w:p w14:paraId="61F70A5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0.447</w:t>
            </w:r>
          </w:p>
        </w:tc>
      </w:tr>
      <w:tr w14:paraId="0CF7E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</w:tcPr>
          <w:p w14:paraId="501B3BEB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PaO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>2</w:t>
            </w:r>
          </w:p>
        </w:tc>
        <w:tc>
          <w:tcPr>
            <w:tcW w:w="2130" w:type="dxa"/>
          </w:tcPr>
          <w:p w14:paraId="4203E1B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322.67±67.083</w:t>
            </w:r>
          </w:p>
        </w:tc>
        <w:tc>
          <w:tcPr>
            <w:tcW w:w="2131" w:type="dxa"/>
          </w:tcPr>
          <w:p w14:paraId="5992F3B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283.33±75.249</w:t>
            </w:r>
          </w:p>
        </w:tc>
        <w:tc>
          <w:tcPr>
            <w:tcW w:w="2131" w:type="dxa"/>
          </w:tcPr>
          <w:p w14:paraId="70C3B7C1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0.037</w:t>
            </w:r>
          </w:p>
        </w:tc>
      </w:tr>
      <w:tr w14:paraId="61D3A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  <w:tcBorders>
              <w:bottom w:val="single" w:color="auto" w:sz="12" w:space="0"/>
            </w:tcBorders>
          </w:tcPr>
          <w:p w14:paraId="063455BD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PaCO</w:t>
            </w: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subscript"/>
                <w:lang w:val="en-US" w:eastAsia="zh-CN"/>
              </w:rPr>
              <w:t>2</w:t>
            </w:r>
          </w:p>
        </w:tc>
        <w:tc>
          <w:tcPr>
            <w:tcW w:w="2130" w:type="dxa"/>
            <w:tcBorders>
              <w:bottom w:val="single" w:color="auto" w:sz="12" w:space="0"/>
            </w:tcBorders>
          </w:tcPr>
          <w:p w14:paraId="7C5CA0BF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36.73±5.581</w:t>
            </w:r>
          </w:p>
        </w:tc>
        <w:tc>
          <w:tcPr>
            <w:tcW w:w="2131" w:type="dxa"/>
            <w:tcBorders>
              <w:bottom w:val="single" w:color="auto" w:sz="12" w:space="0"/>
            </w:tcBorders>
          </w:tcPr>
          <w:p w14:paraId="2705E0C2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36.23±4.166</w:t>
            </w:r>
          </w:p>
        </w:tc>
        <w:tc>
          <w:tcPr>
            <w:tcW w:w="2131" w:type="dxa"/>
            <w:tcBorders>
              <w:bottom w:val="single" w:color="auto" w:sz="12" w:space="0"/>
            </w:tcBorders>
          </w:tcPr>
          <w:p w14:paraId="19496524">
            <w:pPr>
              <w:jc w:val="center"/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2"/>
                <w:szCs w:val="22"/>
                <w:vertAlign w:val="baseline"/>
                <w:lang w:val="en-US" w:eastAsia="zh-CN"/>
              </w:rPr>
              <w:t>0.620</w:t>
            </w:r>
          </w:p>
        </w:tc>
      </w:tr>
    </w:tbl>
    <w:p w14:paraId="72A3034A">
      <w:pPr>
        <w:rPr>
          <w:rFonts w:hint="default" w:ascii="Times New Roman Italic" w:hAnsi="Times New Roman Italic" w:cs="Times New Roman Italic"/>
          <w:i w:val="0"/>
          <w:iCs w:val="0"/>
          <w:sz w:val="21"/>
          <w:szCs w:val="21"/>
          <w:lang w:val="en-US" w:eastAsia="zh-CN"/>
        </w:rPr>
      </w:pPr>
      <w:r>
        <w:rPr>
          <w:rFonts w:hint="default" w:ascii="Times New Roman Italic" w:hAnsi="Times New Roman Italic" w:cs="Times New Roman Italic"/>
          <w:i w:val="0"/>
          <w:iCs w:val="0"/>
          <w:sz w:val="21"/>
          <w:szCs w:val="21"/>
          <w:lang w:val="en-US" w:eastAsia="zh-CN"/>
        </w:rPr>
        <w:t>Arterial blood gas analysis was performed 30 min after the completion of the first individualized PEEP titration.</w:t>
      </w:r>
      <w:r>
        <w:rPr>
          <w:rFonts w:hint="eastAsia" w:ascii="Times New Roman Italic" w:hAnsi="Times New Roman Italic" w:cs="Times New Roman Italic"/>
          <w:i w:val="0"/>
          <w:i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 Italic" w:hAnsi="Times New Roman Italic" w:cs="Times New Roman Italic"/>
          <w:i w:val="0"/>
          <w:iCs w:val="0"/>
          <w:sz w:val="21"/>
          <w:szCs w:val="21"/>
          <w:lang w:val="en-US" w:eastAsia="zh-CN"/>
        </w:rPr>
        <w:t>TEA, thoracic epidural anesthesia.</w:t>
      </w:r>
    </w:p>
    <w:p w14:paraId="1A9037A7">
      <w:pPr>
        <w:rPr>
          <w:rFonts w:hint="default" w:ascii="Times New Roman Italic" w:hAnsi="Times New Roman Italic" w:cs="Times New Roman Italic"/>
          <w:i w:val="0"/>
          <w:iCs w:val="0"/>
          <w:sz w:val="21"/>
          <w:szCs w:val="21"/>
          <w:lang w:val="en-US" w:eastAsia="zh-CN"/>
        </w:rPr>
      </w:pPr>
    </w:p>
    <w:p w14:paraId="754A8A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Supplementary Table 5: Univariate and Multivariate Logistic Regression Analysis of Factors Associated with Postoperative Pulmonary Complications.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923"/>
        <w:gridCol w:w="1261"/>
        <w:gridCol w:w="2068"/>
        <w:gridCol w:w="1174"/>
      </w:tblGrid>
      <w:tr w14:paraId="24C243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2" w:hRule="atLeast"/>
        </w:trPr>
        <w:tc>
          <w:tcPr>
            <w:tcW w:w="2096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 w14:paraId="084E5C0C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Variables</w:t>
            </w:r>
          </w:p>
        </w:tc>
        <w:tc>
          <w:tcPr>
            <w:tcW w:w="1923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 w14:paraId="250A43C6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Crude OR (95% CI)</w:t>
            </w:r>
          </w:p>
          <w:p w14:paraId="7E9F808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 w14:paraId="5225BC77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P value</w:t>
            </w:r>
          </w:p>
        </w:tc>
        <w:tc>
          <w:tcPr>
            <w:tcW w:w="2068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 w14:paraId="7E5BDFDB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Adjusted OR(95%CI)</w:t>
            </w:r>
          </w:p>
          <w:p w14:paraId="052A31E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 w14:paraId="709BF769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P value</w:t>
            </w:r>
          </w:p>
        </w:tc>
      </w:tr>
      <w:tr w14:paraId="109E7C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1453B56A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TEA application (yes)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2DA0F530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545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 xml:space="preserve"> (0.1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83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 xml:space="preserve"> to 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1.623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71158F8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276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6ADC9997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752A9C0D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2C9EB9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3F81584B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ΔP (per 1cmH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O)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623832A7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1.916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006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 xml:space="preserve"> to 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1.086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375E499B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0.000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6C8C4A44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2.190 (1.300 to 3.689)</w:t>
            </w: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73B53ED8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0.003</w:t>
            </w:r>
          </w:p>
        </w:tc>
      </w:tr>
      <w:tr w14:paraId="219989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1F74A3B9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Age (per 1 year)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1CD2FB1A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1.045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 xml:space="preserve"> (0.841 to 1.082)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56CF566D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25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786F955F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0.930 (0.858 to 1.009)</w:t>
            </w: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3A29139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0.081</w:t>
            </w:r>
          </w:p>
        </w:tc>
      </w:tr>
      <w:tr w14:paraId="3FCB90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462CB534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Sex (female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）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54107027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 xml:space="preserve">0.603 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(0.2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 xml:space="preserve">03 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to 1.792)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079D9DC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363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2874B944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23E182F8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4DE68B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7F73E8FD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BMI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72C1CD7F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0.950 (0.811 to 1.112)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11CA5730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0.519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7BC36BAB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12173BF2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230414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07A7594E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Smoking status (no)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6809F95F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3.273 (0.013 to 10.578)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02182538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0.048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65097EA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1.463 (0.245 to 8.758)</w:t>
            </w: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7178F4B7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0.677</w:t>
            </w:r>
          </w:p>
        </w:tc>
      </w:tr>
      <w:tr w14:paraId="67F685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08017891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Hemoglobin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35673734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1.001 (0.978 to 1.025)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640E77F9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0.910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381778D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67C57935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781E71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19C8F9D9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Serum bilirubin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5FC0CD40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1.015 (0.973 to 1.059)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1A91A302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0.491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4CF46A9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1E5B8CA4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70205E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57A6CB12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Serum creatinine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0646F523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1.026 (0.986 to 1.067)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7C9C1E6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0.202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0BE46448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145B76C0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1A9EC6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2096" w:type="dxa"/>
            <w:tcBorders>
              <w:tl2br w:val="nil"/>
              <w:tr2bl w:val="nil"/>
            </w:tcBorders>
          </w:tcPr>
          <w:p w14:paraId="1C86CADE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Serum albumin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18231BC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0.957 (0.853 to 1.074)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53F613C5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0.458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458D447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63984832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0A1274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66493D9A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Left ventricle ejection fraction, %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10D85D1C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0.859 (0.780 to 0.945)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5C6D1438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0.002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0CFAB97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0.913 (0.802 to 1.039)</w:t>
            </w: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7F6F0036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0.165</w:t>
            </w:r>
          </w:p>
        </w:tc>
      </w:tr>
      <w:tr w14:paraId="7663CA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3D4A5FEB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ALT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5E82EC03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1.002 (0.993 to 1.010)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6AA32AE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0.713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0C75C86D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301858D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07C85C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094EDD65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AST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3C08381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1.004 (0.995 to 1.012)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4497A6BB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0.433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03025B8B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39A2A993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51BA7B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5E8940D8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Surgical method (laparoscopic</w:t>
            </w: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）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743FCE1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123 (0.351 to 3.594)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5F48A7EC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0.844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26F9552B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7B197399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4B3EE6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6E76D35C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Preoperative comorbidities (yes)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476BC41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4.333 (1.364 to 13.770)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28280CF2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0.013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3094492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7.007 (0.918 to 54.505)</w:t>
            </w:r>
          </w:p>
        </w:tc>
        <w:tc>
          <w:tcPr>
            <w:tcW w:w="1174" w:type="dxa"/>
            <w:tcBorders>
              <w:right w:val="nil"/>
              <w:tl2br w:val="nil"/>
              <w:tr2bl w:val="nil"/>
            </w:tcBorders>
          </w:tcPr>
          <w:p w14:paraId="742EC05A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0.060</w:t>
            </w:r>
          </w:p>
        </w:tc>
      </w:tr>
      <w:tr w14:paraId="06DBEA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22F6D078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Duration of surgery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6455B122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1.002 (0.996 to 1.007)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4A4389AA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0.583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77BEC912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1C93573D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6F2A57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tl2br w:val="nil"/>
              <w:tr2bl w:val="nil"/>
            </w:tcBorders>
          </w:tcPr>
          <w:p w14:paraId="1E9C7B7A">
            <w:pPr>
              <w:jc w:val="left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Total fluid volume (per unit)</w:t>
            </w:r>
          </w:p>
        </w:tc>
        <w:tc>
          <w:tcPr>
            <w:tcW w:w="1923" w:type="dxa"/>
            <w:tcBorders>
              <w:tl2br w:val="nil"/>
              <w:tr2bl w:val="nil"/>
            </w:tcBorders>
          </w:tcPr>
          <w:p w14:paraId="08CEF6CA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1.000 (0.999 to 1.001)</w:t>
            </w:r>
          </w:p>
        </w:tc>
        <w:tc>
          <w:tcPr>
            <w:tcW w:w="1261" w:type="dxa"/>
            <w:tcBorders>
              <w:tl2br w:val="nil"/>
              <w:tr2bl w:val="nil"/>
            </w:tcBorders>
          </w:tcPr>
          <w:p w14:paraId="70762F3D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0.985</w:t>
            </w:r>
          </w:p>
        </w:tc>
        <w:tc>
          <w:tcPr>
            <w:tcW w:w="2068" w:type="dxa"/>
            <w:tcBorders>
              <w:tl2br w:val="nil"/>
              <w:tr2bl w:val="nil"/>
            </w:tcBorders>
          </w:tcPr>
          <w:p w14:paraId="4231157C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tl2br w:val="nil"/>
              <w:tr2bl w:val="nil"/>
            </w:tcBorders>
          </w:tcPr>
          <w:p w14:paraId="23B59B27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  <w:tr w14:paraId="34E828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96" w:type="dxa"/>
            <w:tcBorders>
              <w:bottom w:val="single" w:color="auto" w:sz="12" w:space="0"/>
              <w:tl2br w:val="nil"/>
              <w:tr2bl w:val="nil"/>
            </w:tcBorders>
          </w:tcPr>
          <w:p w14:paraId="6D2585DC">
            <w:pP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Colloid (per unit)</w:t>
            </w:r>
          </w:p>
        </w:tc>
        <w:tc>
          <w:tcPr>
            <w:tcW w:w="1923" w:type="dxa"/>
            <w:tcBorders>
              <w:bottom w:val="single" w:color="auto" w:sz="12" w:space="0"/>
              <w:tl2br w:val="nil"/>
              <w:tr2bl w:val="nil"/>
            </w:tcBorders>
          </w:tcPr>
          <w:p w14:paraId="64016CAE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1.000 (0.999 to 1.001)</w:t>
            </w:r>
          </w:p>
        </w:tc>
        <w:tc>
          <w:tcPr>
            <w:tcW w:w="1261" w:type="dxa"/>
            <w:tcBorders>
              <w:bottom w:val="single" w:color="auto" w:sz="12" w:space="0"/>
              <w:tl2br w:val="nil"/>
              <w:tr2bl w:val="nil"/>
            </w:tcBorders>
          </w:tcPr>
          <w:p w14:paraId="04447701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  <w:t>0.935</w:t>
            </w:r>
          </w:p>
        </w:tc>
        <w:tc>
          <w:tcPr>
            <w:tcW w:w="2068" w:type="dxa"/>
            <w:tcBorders>
              <w:bottom w:val="single" w:color="auto" w:sz="12" w:space="0"/>
              <w:tl2br w:val="nil"/>
              <w:tr2bl w:val="nil"/>
            </w:tcBorders>
          </w:tcPr>
          <w:p w14:paraId="3E2425A6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174" w:type="dxa"/>
            <w:tcBorders>
              <w:bottom w:val="single" w:color="auto" w:sz="12" w:space="0"/>
              <w:tl2br w:val="nil"/>
              <w:tr2bl w:val="nil"/>
            </w:tcBorders>
          </w:tcPr>
          <w:p w14:paraId="1F6B961A">
            <w:pPr>
              <w:jc w:val="center"/>
              <w:rPr>
                <w:rFonts w:hint="default" w:ascii="Times New Roman Regular" w:hAnsi="Times New Roman Regular" w:cs="Times New Roman Regular"/>
                <w:sz w:val="13"/>
                <w:szCs w:val="13"/>
                <w:vertAlign w:val="baseline"/>
                <w:lang w:val="en-US" w:eastAsia="zh-CN"/>
              </w:rPr>
            </w:pPr>
          </w:p>
        </w:tc>
      </w:tr>
    </w:tbl>
    <w:p w14:paraId="2C304E3A">
      <w:pPr>
        <w:keepNext w:val="0"/>
        <w:keepLines w:val="0"/>
        <w:widowControl/>
        <w:suppressLineNumbers w:val="0"/>
        <w:jc w:val="left"/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</w:pPr>
      <w:r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  <w:t>Abbreviations: TEA, thoracic epidural anesthesia; ΔP, driving pressure; BMI, body mass index;   ALT, alanine aminotransferase; AST, aspartate aminotransferase; CI, confidence interval; OR, odds ratio.</w:t>
      </w:r>
    </w:p>
    <w:p w14:paraId="2B5F0BB2">
      <w:pPr>
        <w:keepNext w:val="0"/>
        <w:keepLines w:val="0"/>
        <w:widowControl/>
        <w:suppressLineNumbers w:val="0"/>
        <w:jc w:val="left"/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</w:pPr>
    </w:p>
    <w:p w14:paraId="741C0B49">
      <w:pPr>
        <w:keepNext w:val="0"/>
        <w:keepLines w:val="0"/>
        <w:widowControl/>
        <w:suppressLineNumbers w:val="0"/>
        <w:jc w:val="left"/>
        <w:rPr>
          <w:rFonts w:hint="eastAsia" w:ascii="Times New Roman Italic" w:hAnsi="Times New Roman Italic" w:cs="Times New Roman Italic"/>
          <w:i/>
          <w:iCs/>
          <w:sz w:val="21"/>
          <w:szCs w:val="21"/>
          <w:lang w:val="en-US" w:eastAsia="zh-CN"/>
        </w:rPr>
      </w:pPr>
      <w:bookmarkStart w:id="0" w:name="_GoBack"/>
      <w:r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  <w:drawing>
          <wp:inline distT="0" distB="0" distL="114300" distR="114300">
            <wp:extent cx="4005580" cy="3783965"/>
            <wp:effectExtent l="0" t="0" r="7620" b="635"/>
            <wp:docPr id="1" name="图片 1" descr="截屏2024-11-03 下午11.50.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03 下午11.50.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ascii="Times New Roman Italic" w:hAnsi="Times New Roman Italic" w:cs="Times New Roman Italic"/>
          <w:i/>
          <w:iCs/>
          <w:sz w:val="21"/>
          <w:szCs w:val="21"/>
          <w:lang w:val="en-US" w:eastAsia="zh-CN"/>
        </w:rPr>
        <w:t>、</w:t>
      </w:r>
    </w:p>
    <w:p w14:paraId="2BC321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Supplementary Figure 1: Receiver Operating Characteristic (ROC) curve for ΔP in predicting PPCs, with an area under the curve (AUC) of 0.83 and a ΔP cut-off value of 12.5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 xml:space="preserve"> cmH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vertAlign w:val="subscript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O</w:t>
      </w:r>
      <w:r>
        <w:rPr>
          <w:rFonts w:hint="eastAsia" w:ascii="Times New Roman Regular" w:hAnsi="Times New Roman Regular" w:cs="Times New Roman Regular"/>
          <w:b w:val="0"/>
          <w:bCs/>
          <w:i w:val="0"/>
          <w:iCs w:val="0"/>
          <w:sz w:val="22"/>
          <w:szCs w:val="22"/>
          <w:lang w:val="en-US" w:eastAsia="zh-CN"/>
        </w:rPr>
        <w:t>.</w:t>
      </w:r>
    </w:p>
    <w:p w14:paraId="4E302A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4"/>
          <w:szCs w:val="24"/>
          <w:lang w:val="en-US" w:eastAsia="zh-CN"/>
        </w:rPr>
      </w:pPr>
    </w:p>
    <w:p w14:paraId="3CE079B0">
      <w:pPr>
        <w:keepNext w:val="0"/>
        <w:keepLines w:val="0"/>
        <w:widowControl/>
        <w:suppressLineNumbers w:val="0"/>
        <w:jc w:val="left"/>
        <w:rPr>
          <w:rFonts w:hint="default" w:ascii="Times New Roman Italic" w:hAnsi="Times New Roman Italic" w:cs="Times New Roman Italic"/>
          <w:i/>
          <w:iCs/>
          <w:sz w:val="21"/>
          <w:szCs w:val="21"/>
          <w:lang w:val="en-US" w:eastAsia="zh-CN"/>
        </w:rPr>
      </w:pPr>
    </w:p>
    <w:p w14:paraId="5A125A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iCs w:val="0"/>
          <w:sz w:val="24"/>
          <w:szCs w:val="24"/>
          <w:lang w:val="en-US" w:eastAsia="zh-CN"/>
        </w:rPr>
      </w:pPr>
    </w:p>
    <w:p w14:paraId="20E7ED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OTbf7bbda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405AA6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4C4E5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NDAyY2QyYTljNThjZWJmZWFkMWRmZTI2YzJmMTYifQ=="/>
  </w:docVars>
  <w:rsids>
    <w:rsidRoot w:val="6E958F2A"/>
    <w:rsid w:val="4BBFFCFD"/>
    <w:rsid w:val="679CB97E"/>
    <w:rsid w:val="6E958F2A"/>
    <w:rsid w:val="7FFE9B32"/>
    <w:rsid w:val="D77BF6BB"/>
    <w:rsid w:val="DABFA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2024-01-09T04:04:00Z</dcterms:created>
  <dc:creator>Xuan Li</dc:creator>
  <cp:lastModifiedBy>Xuan Li</cp:lastModifiedBy>
  <dcterms:modified xsi:type="dcterms:W3CDTF">2024-11-06T18:51:33Z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E4501A042B88067EC5229A659A3E3FFB_41</vt:lpwstr>
  </property>
</Properties>
</file>