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AB36A">
      <w:pPr>
        <w:widowControl/>
        <w:rPr>
          <w:rFonts w:hint="eastAsia" w:ascii="Times New Roman" w:hAnsi="Times New Roman" w:cs="Times New Roman" w:eastAsiaTheme="minorEastAsia"/>
          <w:b/>
          <w:bCs/>
          <w:color w:val="000000"/>
          <w:kern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kern w:val="0"/>
          <w:sz w:val="22"/>
          <w:szCs w:val="22"/>
        </w:rPr>
        <w:t xml:space="preserve">Additional file 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2"/>
          <w:szCs w:val="22"/>
          <w:lang w:val="en-US" w:eastAsia="zh-CN"/>
        </w:rPr>
        <w:t>2：</w:t>
      </w:r>
    </w:p>
    <w:p w14:paraId="5EDA389A">
      <w:pPr>
        <w:widowControl/>
        <w:jc w:val="left"/>
        <w:rPr>
          <w:rFonts w:hint="default" w:ascii="Times New Roman" w:hAnsi="Times New Roman" w:cs="Times New Roman"/>
          <w:sz w:val="22"/>
          <w:szCs w:val="22"/>
        </w:rPr>
      </w:pPr>
    </w:p>
    <w:p w14:paraId="7CC91CD6">
      <w:pPr>
        <w:widowControl/>
        <w:jc w:val="left"/>
        <w:rPr>
          <w:rFonts w:hint="eastAsia" w:eastAsia="宋体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</w:rPr>
        <w:t>Table S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1</w:t>
      </w:r>
      <w:bookmarkStart w:id="0" w:name="_GoBack"/>
      <w:bookmarkEnd w:id="0"/>
      <w:r>
        <w:rPr>
          <w:rFonts w:hint="default" w:ascii="Times New Roman" w:hAnsi="Times New Roman" w:cs="Times New Roman"/>
          <w:sz w:val="22"/>
          <w:szCs w:val="22"/>
        </w:rPr>
        <w:t xml:space="preserve">,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The increased consumption of sufentanil wi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thin intervals (μg·kg</w:t>
      </w:r>
      <w:r>
        <w:rPr>
          <w:rFonts w:hint="default" w:ascii="Times New Roman" w:hAnsi="Times New Roman" w:cs="Times New Roman"/>
          <w:sz w:val="22"/>
          <w:szCs w:val="22"/>
          <w:vertAlign w:val="superscript"/>
          <w:lang w:val="en-US" w:eastAsia="zh-CN"/>
        </w:rPr>
        <w:t>-1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) </w:t>
      </w:r>
      <w:r>
        <w:rPr>
          <w:rFonts w:hint="default" w:ascii="Times New Roman" w:hAnsi="Times New Roman" w:eastAsia="PMingLiU" w:cs="Times New Roman"/>
          <w:kern w:val="0"/>
          <w:sz w:val="22"/>
          <w:szCs w:val="22"/>
          <w:lang w:val="en-US" w:eastAsia="zh-TW" w:bidi="ar"/>
        </w:rPr>
        <w:t xml:space="preserve">of 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ch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ildren</w:t>
      </w:r>
      <w:r>
        <w:rPr>
          <w:rFonts w:hint="default" w:ascii="Times New Roman" w:hAnsi="Times New Roman" w:eastAsia="PMingLiU" w:cs="Times New Roman"/>
          <w:kern w:val="0"/>
          <w:sz w:val="22"/>
          <w:szCs w:val="22"/>
          <w:lang w:val="en-US" w:eastAsia="zh-TW" w:bidi="ar"/>
        </w:rPr>
        <w:t xml:space="preserve"> receiving preoperative scalp nerve block, postoperative scalp nerve block or non-blocking</w:t>
      </w:r>
      <w:r>
        <w:rPr>
          <w:rFonts w:hint="default" w:ascii="Times New Roman" w:hAnsi="Times New Roman" w:cs="Times New Roman"/>
          <w:color w:val="000000"/>
          <w:kern w:val="0"/>
          <w:sz w:val="22"/>
          <w:szCs w:val="22"/>
        </w:rPr>
        <w:t>.</w:t>
      </w:r>
    </w:p>
    <w:tbl>
      <w:tblPr>
        <w:tblStyle w:val="2"/>
        <w:tblW w:w="880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1829"/>
        <w:gridCol w:w="1854"/>
        <w:gridCol w:w="1700"/>
        <w:gridCol w:w="1296"/>
      </w:tblGrid>
      <w:tr w14:paraId="39CE6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E0D943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17C71B6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Group B</w:t>
            </w:r>
          </w:p>
          <w:p w14:paraId="5F8D9D22">
            <w:pPr>
              <w:widowControl/>
              <w:jc w:val="center"/>
              <w:rPr>
                <w:rFonts w:ascii="Times New Roman" w:hAnsi="Times New Roman" w:eastAsia="宋体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(n=58)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34D325E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Group A</w:t>
            </w:r>
          </w:p>
          <w:p w14:paraId="41A03544">
            <w:pPr>
              <w:widowControl/>
              <w:jc w:val="center"/>
              <w:rPr>
                <w:rFonts w:ascii="Times New Roman" w:hAnsi="Times New Roman" w:eastAsia="宋体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(n=53)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2ECEB0B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Group N</w:t>
            </w:r>
          </w:p>
          <w:p w14:paraId="4A9EA62F">
            <w:pPr>
              <w:widowControl/>
              <w:jc w:val="center"/>
              <w:rPr>
                <w:rFonts w:ascii="Times New Roman" w:hAnsi="Times New Roman" w:eastAsia="宋体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(n=55)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16CE1E8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0"/>
                <w:sz w:val="22"/>
                <w:lang w:val="en-US"/>
              </w:rPr>
              <w:t>P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 xml:space="preserve"> </w:t>
            </w:r>
          </w:p>
          <w:p w14:paraId="3A083618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value</w:t>
            </w:r>
          </w:p>
        </w:tc>
      </w:tr>
      <w:tr w14:paraId="4BCF4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805" w:type="dxa"/>
            <w:gridSpan w:val="5"/>
            <w:vAlign w:val="center"/>
          </w:tcPr>
          <w:p w14:paraId="3D0AD400"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2"/>
                <w:lang w:val="en-US"/>
              </w:rPr>
              <w:t xml:space="preserve">The increased consumption of sufentanil </w:t>
            </w:r>
            <w:r>
              <w:rPr>
                <w:rFonts w:hint="eastAsia" w:ascii="Times New Roman" w:hAnsi="Times New Roman"/>
                <w:b w:val="0"/>
                <w:bCs w:val="0"/>
                <w:sz w:val="22"/>
                <w:lang w:val="en-US" w:eastAsia="zh-CN"/>
              </w:rPr>
              <w:t xml:space="preserve">within </w:t>
            </w:r>
            <w:r>
              <w:rPr>
                <w:rFonts w:hint="eastAsia" w:ascii="Times New Roman" w:hAnsi="Times New Roman"/>
                <w:b w:val="0"/>
                <w:bCs w:val="0"/>
                <w:sz w:val="22"/>
                <w:lang w:val="en-US"/>
              </w:rPr>
              <w:t>intervals</w:t>
            </w:r>
            <w:r>
              <w:rPr>
                <w:rFonts w:hint="eastAsia" w:ascii="Times New Roman" w:hAnsi="Times New Roman"/>
                <w:b w:val="0"/>
                <w:bCs w:val="0"/>
                <w:sz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kern w:val="0"/>
                <w:sz w:val="22"/>
                <w:lang w:val="en-US"/>
              </w:rPr>
              <w:t>(μg·kg</w:t>
            </w:r>
            <w:r>
              <w:rPr>
                <w:rFonts w:ascii="Times New Roman" w:hAnsi="Times New Roman"/>
                <w:b w:val="0"/>
                <w:bCs w:val="0"/>
                <w:kern w:val="0"/>
                <w:sz w:val="22"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/>
                <w:b w:val="0"/>
                <w:bCs w:val="0"/>
                <w:kern w:val="0"/>
                <w:sz w:val="22"/>
                <w:lang w:val="en-US"/>
              </w:rPr>
              <w:t>)</w:t>
            </w:r>
          </w:p>
        </w:tc>
      </w:tr>
      <w:tr w14:paraId="45E6A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126" w:type="dxa"/>
            <w:vAlign w:val="center"/>
          </w:tcPr>
          <w:p w14:paraId="346ED6A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~1 h</w:t>
            </w:r>
          </w:p>
        </w:tc>
        <w:tc>
          <w:tcPr>
            <w:tcW w:w="1829" w:type="dxa"/>
            <w:vAlign w:val="center"/>
          </w:tcPr>
          <w:p w14:paraId="631F7C97">
            <w:pPr>
              <w:jc w:val="center"/>
              <w:rPr>
                <w:rFonts w:ascii="Times New Roman" w:hAnsi="Times New Roman" w:eastAsia="宋体"/>
                <w:sz w:val="22"/>
              </w:rPr>
            </w:pPr>
            <w:r>
              <w:rPr>
                <w:rFonts w:ascii="Times New Roman" w:hAnsi="Times New Roman" w:eastAsia="宋体"/>
                <w:sz w:val="22"/>
                <w:lang w:val="en-US"/>
              </w:rPr>
              <w:t>0.01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0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±0.0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17</w:t>
            </w:r>
            <w: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  <w:shd w:val="clear" w:color="auto" w:fill="FFFFFF"/>
                <w:vertAlign w:val="superscript"/>
                <w:lang w:val="en-US"/>
              </w:rPr>
              <w:t>†</w:t>
            </w:r>
          </w:p>
        </w:tc>
        <w:tc>
          <w:tcPr>
            <w:tcW w:w="1854" w:type="dxa"/>
            <w:vAlign w:val="center"/>
          </w:tcPr>
          <w:p w14:paraId="0CFC85ED">
            <w:pPr>
              <w:jc w:val="center"/>
              <w:rPr>
                <w:rFonts w:ascii="Times New Roman" w:hAnsi="Times New Roman" w:eastAsia="宋体"/>
                <w:sz w:val="22"/>
              </w:rPr>
            </w:pPr>
            <w:r>
              <w:rPr>
                <w:rFonts w:ascii="Times New Roman" w:hAnsi="Times New Roman" w:eastAsia="宋体"/>
                <w:sz w:val="22"/>
                <w:lang w:val="en-US"/>
              </w:rPr>
              <w:t>0.0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08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±0.0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17</w:t>
            </w:r>
            <w: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  <w:shd w:val="clear" w:color="auto" w:fill="FFFFFF"/>
                <w:vertAlign w:val="superscript"/>
                <w:lang w:val="en-US"/>
              </w:rPr>
              <w:t>†</w:t>
            </w:r>
          </w:p>
        </w:tc>
        <w:tc>
          <w:tcPr>
            <w:tcW w:w="1700" w:type="dxa"/>
            <w:vAlign w:val="center"/>
          </w:tcPr>
          <w:p w14:paraId="46AF9D2F">
            <w:pPr>
              <w:jc w:val="center"/>
              <w:rPr>
                <w:rFonts w:hint="eastAsia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ascii="Times New Roman" w:hAnsi="Times New Roman" w:eastAsia="宋体"/>
                <w:sz w:val="22"/>
                <w:lang w:val="en-US"/>
              </w:rPr>
              <w:t>0.02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2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±0.02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4</w:t>
            </w:r>
          </w:p>
        </w:tc>
        <w:tc>
          <w:tcPr>
            <w:tcW w:w="1296" w:type="dxa"/>
          </w:tcPr>
          <w:p w14:paraId="26364C8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en-US"/>
              </w:rPr>
              <w:t>&lt;0.001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en-US"/>
              </w:rPr>
              <w:t>*</w:t>
            </w:r>
          </w:p>
        </w:tc>
      </w:tr>
      <w:tr w14:paraId="22D25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26" w:type="dxa"/>
            <w:vAlign w:val="center"/>
          </w:tcPr>
          <w:p w14:paraId="308D5A42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lang w:val="en-US"/>
              </w:rPr>
              <w:t>~2 h</w:t>
            </w:r>
          </w:p>
        </w:tc>
        <w:tc>
          <w:tcPr>
            <w:tcW w:w="1829" w:type="dxa"/>
            <w:vAlign w:val="center"/>
          </w:tcPr>
          <w:p w14:paraId="22454D2A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ascii="Times New Roman" w:hAnsi="Times New Roman" w:eastAsia="宋体"/>
                <w:sz w:val="22"/>
                <w:lang w:val="en-US"/>
              </w:rPr>
              <w:t>0.0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20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±0.0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26</w:t>
            </w:r>
          </w:p>
        </w:tc>
        <w:tc>
          <w:tcPr>
            <w:tcW w:w="1854" w:type="dxa"/>
            <w:vAlign w:val="center"/>
          </w:tcPr>
          <w:p w14:paraId="6EEF05E2">
            <w:pPr>
              <w:jc w:val="center"/>
              <w:rPr>
                <w:rFonts w:ascii="Times New Roman" w:hAnsi="Times New Roman" w:eastAsia="宋体"/>
                <w:sz w:val="22"/>
              </w:rPr>
            </w:pPr>
            <w:r>
              <w:rPr>
                <w:rFonts w:ascii="Times New Roman" w:hAnsi="Times New Roman" w:eastAsia="宋体"/>
                <w:sz w:val="22"/>
                <w:lang w:val="en-US"/>
              </w:rPr>
              <w:t>0.0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12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±0.0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20</w:t>
            </w:r>
            <w: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  <w:shd w:val="clear" w:color="auto" w:fill="FFFFFF"/>
                <w:vertAlign w:val="superscript"/>
                <w:lang w:val="en-US"/>
              </w:rPr>
              <w:t>†</w:t>
            </w:r>
          </w:p>
        </w:tc>
        <w:tc>
          <w:tcPr>
            <w:tcW w:w="1700" w:type="dxa"/>
            <w:vAlign w:val="center"/>
          </w:tcPr>
          <w:p w14:paraId="15AB1C3B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ascii="Times New Roman" w:hAnsi="Times New Roman" w:eastAsia="宋体"/>
                <w:sz w:val="22"/>
                <w:lang w:val="en-US"/>
              </w:rPr>
              <w:t>0.0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34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±0.0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35</w:t>
            </w:r>
          </w:p>
        </w:tc>
        <w:tc>
          <w:tcPr>
            <w:tcW w:w="1296" w:type="dxa"/>
          </w:tcPr>
          <w:p w14:paraId="1E628BF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en-US"/>
              </w:rPr>
              <w:t>&lt;0.001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en-US"/>
              </w:rPr>
              <w:t>*</w:t>
            </w:r>
          </w:p>
        </w:tc>
      </w:tr>
      <w:tr w14:paraId="32E8E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26" w:type="dxa"/>
            <w:vAlign w:val="center"/>
          </w:tcPr>
          <w:p w14:paraId="180B246D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lang w:val="en-US"/>
              </w:rPr>
              <w:t>~4 h</w:t>
            </w:r>
          </w:p>
        </w:tc>
        <w:tc>
          <w:tcPr>
            <w:tcW w:w="1829" w:type="dxa"/>
            <w:vAlign w:val="center"/>
          </w:tcPr>
          <w:p w14:paraId="5B7FC097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ascii="Times New Roman" w:hAnsi="Times New Roman" w:eastAsia="宋体"/>
                <w:sz w:val="22"/>
                <w:lang w:val="en-US"/>
              </w:rPr>
              <w:t>0.0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32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±0.0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35</w:t>
            </w:r>
          </w:p>
        </w:tc>
        <w:tc>
          <w:tcPr>
            <w:tcW w:w="1854" w:type="dxa"/>
            <w:vAlign w:val="center"/>
          </w:tcPr>
          <w:p w14:paraId="5487C143">
            <w:pPr>
              <w:jc w:val="center"/>
              <w:rPr>
                <w:rFonts w:hint="eastAsia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ascii="Times New Roman" w:hAnsi="Times New Roman" w:eastAsia="宋体"/>
                <w:sz w:val="22"/>
                <w:lang w:val="en-US"/>
              </w:rPr>
              <w:t>0.0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23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±0.0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37</w:t>
            </w:r>
            <w: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  <w:shd w:val="clear" w:color="auto" w:fill="FFFFFF"/>
                <w:vertAlign w:val="superscript"/>
                <w:lang w:val="en-US"/>
              </w:rPr>
              <w:t>†</w:t>
            </w:r>
          </w:p>
        </w:tc>
        <w:tc>
          <w:tcPr>
            <w:tcW w:w="1700" w:type="dxa"/>
            <w:vAlign w:val="center"/>
          </w:tcPr>
          <w:p w14:paraId="00EE35A6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ascii="Times New Roman" w:hAnsi="Times New Roman" w:eastAsia="宋体"/>
                <w:sz w:val="22"/>
                <w:lang w:val="en-US"/>
              </w:rPr>
              <w:t>0.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046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±0.0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44</w:t>
            </w:r>
          </w:p>
        </w:tc>
        <w:tc>
          <w:tcPr>
            <w:tcW w:w="1296" w:type="dxa"/>
          </w:tcPr>
          <w:p w14:paraId="244D0523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hint="eastAsia" w:ascii="Times New Roman" w:hAnsi="Times New Roman"/>
                <w:b/>
                <w:bCs/>
                <w:sz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lang w:val="en-US"/>
              </w:rPr>
              <w:t>0.00</w:t>
            </w:r>
            <w:r>
              <w:rPr>
                <w:rFonts w:hint="eastAsia" w:ascii="Times New Roman" w:hAnsi="Times New Roman"/>
                <w:b/>
                <w:bCs/>
                <w:sz w:val="22"/>
                <w:lang w:val="en-US" w:eastAsia="zh-CN"/>
              </w:rPr>
              <w:t>9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en-US"/>
              </w:rPr>
              <w:t>*</w:t>
            </w:r>
          </w:p>
        </w:tc>
      </w:tr>
      <w:tr w14:paraId="18401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26" w:type="dxa"/>
            <w:vAlign w:val="center"/>
          </w:tcPr>
          <w:p w14:paraId="3CA6199E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  <w:t>4</w:t>
            </w:r>
            <w:r>
              <w:rPr>
                <w:rFonts w:ascii="Times New Roman" w:hAnsi="Times New Roman"/>
                <w:kern w:val="0"/>
                <w:sz w:val="22"/>
                <w:lang w:val="en-US"/>
              </w:rPr>
              <w:t>~</w:t>
            </w:r>
            <w:r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  <w:t>24</w:t>
            </w:r>
            <w:r>
              <w:rPr>
                <w:rFonts w:ascii="Times New Roman" w:hAnsi="Times New Roman"/>
                <w:kern w:val="0"/>
                <w:sz w:val="22"/>
                <w:lang w:val="en-US"/>
              </w:rPr>
              <w:t xml:space="preserve"> h</w:t>
            </w:r>
          </w:p>
        </w:tc>
        <w:tc>
          <w:tcPr>
            <w:tcW w:w="1829" w:type="dxa"/>
            <w:vAlign w:val="center"/>
          </w:tcPr>
          <w:p w14:paraId="04C71B55">
            <w:pPr>
              <w:jc w:val="center"/>
              <w:rPr>
                <w:rFonts w:hint="eastAsia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ascii="Times New Roman" w:hAnsi="Times New Roman" w:eastAsia="宋体"/>
                <w:sz w:val="22"/>
                <w:lang w:val="en-US"/>
              </w:rPr>
              <w:t>0.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4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2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±0.1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12</w:t>
            </w:r>
          </w:p>
        </w:tc>
        <w:tc>
          <w:tcPr>
            <w:tcW w:w="1854" w:type="dxa"/>
            <w:vAlign w:val="center"/>
          </w:tcPr>
          <w:p w14:paraId="622780EF">
            <w:pPr>
              <w:jc w:val="center"/>
              <w:rPr>
                <w:rFonts w:hint="eastAsia" w:ascii="Times New Roman" w:hAnsi="Times New Roman" w:eastAsiaTheme="minorEastAsia"/>
                <w:sz w:val="22"/>
                <w:lang w:val="en-US" w:eastAsia="zh-CN"/>
              </w:rPr>
            </w:pPr>
            <w:r>
              <w:rPr>
                <w:rFonts w:ascii="Times New Roman" w:hAnsi="Times New Roman" w:eastAsia="宋体"/>
                <w:sz w:val="22"/>
                <w:lang w:val="en-US"/>
              </w:rPr>
              <w:t>0.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075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±0.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093</w:t>
            </w:r>
            <w: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  <w:shd w:val="clear" w:color="auto" w:fill="FFFFFF"/>
                <w:vertAlign w:val="superscript"/>
                <w:lang w:val="en-US"/>
              </w:rPr>
              <w:t>†</w:t>
            </w:r>
            <w:r>
              <w:rPr>
                <w:rFonts w:hint="eastAsia" w:ascii="Times New Roman" w:hAnsi="Times New Roman"/>
                <w:b/>
                <w:bCs/>
                <w:color w:val="333333"/>
                <w:sz w:val="20"/>
                <w:szCs w:val="20"/>
                <w:shd w:val="clear" w:color="auto" w:fill="FFFFFF"/>
                <w:vertAlign w:val="superscript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superscript"/>
                <w:lang w:val="en-US" w:eastAsia="zh-CN"/>
              </w:rPr>
              <w:t>‡</w:t>
            </w:r>
          </w:p>
        </w:tc>
        <w:tc>
          <w:tcPr>
            <w:tcW w:w="1700" w:type="dxa"/>
            <w:vAlign w:val="center"/>
          </w:tcPr>
          <w:p w14:paraId="37F23BFE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ascii="Times New Roman" w:hAnsi="Times New Roman" w:eastAsia="宋体"/>
                <w:sz w:val="22"/>
                <w:lang w:val="en-US"/>
              </w:rPr>
              <w:t>0.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134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±0.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124</w:t>
            </w:r>
          </w:p>
        </w:tc>
        <w:tc>
          <w:tcPr>
            <w:tcW w:w="1296" w:type="dxa"/>
            <w:vAlign w:val="center"/>
          </w:tcPr>
          <w:p w14:paraId="3F85D3F3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en-US"/>
              </w:rPr>
              <w:t xml:space="preserve"> 0.0</w:t>
            </w:r>
            <w:r>
              <w:rPr>
                <w:rFonts w:hint="eastAsia" w:ascii="Times New Roman" w:hAnsi="Times New Roman"/>
                <w:b/>
                <w:bCs/>
                <w:sz w:val="22"/>
                <w:lang w:val="en-US" w:eastAsia="zh-CN"/>
              </w:rPr>
              <w:t>04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en-US"/>
              </w:rPr>
              <w:t>*</w:t>
            </w:r>
          </w:p>
        </w:tc>
      </w:tr>
      <w:tr w14:paraId="50349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283D289C">
            <w:pPr>
              <w:widowControl/>
              <w:jc w:val="center"/>
              <w:rPr>
                <w:rFonts w:hint="default" w:ascii="Times New Roman" w:hAnsi="Times New Roman" w:eastAsiaTheme="minorEastAsia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  <w:t>24</w:t>
            </w:r>
            <w:r>
              <w:rPr>
                <w:rFonts w:ascii="Times New Roman" w:hAnsi="Times New Roman"/>
                <w:kern w:val="0"/>
                <w:sz w:val="22"/>
                <w:lang w:val="en-US"/>
              </w:rPr>
              <w:t>~</w:t>
            </w:r>
            <w:r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  <w:t>48 h</w:t>
            </w:r>
          </w:p>
        </w:tc>
        <w:tc>
          <w:tcPr>
            <w:tcW w:w="1829" w:type="dxa"/>
            <w:tcBorders>
              <w:bottom w:val="single" w:color="auto" w:sz="4" w:space="0"/>
            </w:tcBorders>
            <w:vAlign w:val="center"/>
          </w:tcPr>
          <w:p w14:paraId="1383729D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0.034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±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0.057</w:t>
            </w:r>
          </w:p>
        </w:tc>
        <w:tc>
          <w:tcPr>
            <w:tcW w:w="1854" w:type="dxa"/>
            <w:tcBorders>
              <w:bottom w:val="single" w:color="auto" w:sz="4" w:space="0"/>
            </w:tcBorders>
            <w:vAlign w:val="center"/>
          </w:tcPr>
          <w:p w14:paraId="50EDEB19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0.037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±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0.094</w:t>
            </w:r>
          </w:p>
        </w:tc>
        <w:tc>
          <w:tcPr>
            <w:tcW w:w="1700" w:type="dxa"/>
            <w:tcBorders>
              <w:bottom w:val="single" w:color="auto" w:sz="4" w:space="0"/>
            </w:tcBorders>
            <w:vAlign w:val="center"/>
          </w:tcPr>
          <w:p w14:paraId="7CBEAF91">
            <w:pPr>
              <w:jc w:val="center"/>
              <w:rPr>
                <w:rFonts w:hint="default" w:ascii="Times New Roman" w:hAns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0.033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±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0.090</w:t>
            </w:r>
          </w:p>
        </w:tc>
        <w:tc>
          <w:tcPr>
            <w:tcW w:w="1296" w:type="dxa"/>
            <w:tcBorders>
              <w:bottom w:val="single" w:color="auto" w:sz="4" w:space="0"/>
            </w:tcBorders>
            <w:vAlign w:val="center"/>
          </w:tcPr>
          <w:p w14:paraId="5788C20C">
            <w:pPr>
              <w:jc w:val="center"/>
              <w:rPr>
                <w:rFonts w:hint="default" w:ascii="Times New Roman" w:hAnsi="Times New Roman" w:eastAsiaTheme="minorEastAsia"/>
                <w:b/>
                <w:bCs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2"/>
                <w:lang w:val="en-US" w:eastAsia="zh-CN"/>
              </w:rPr>
              <w:t>0.960</w:t>
            </w:r>
          </w:p>
        </w:tc>
      </w:tr>
    </w:tbl>
    <w:p w14:paraId="6BC46397">
      <w:pPr>
        <w:widowControl/>
        <w:jc w:val="left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Abbreviations: Group B = perioperative (Before surgery) scalp nerve block group; Group A = postoperative (After surgery) scalp nerve block group; Group N = nonblocking control group.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*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: P &lt; 0.05, according to Kruskal–Wallis H test among three groups.</w:t>
      </w:r>
    </w:p>
    <w:p w14:paraId="763EF8E2">
      <w:pPr>
        <w:widowControl/>
        <w:jc w:val="left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†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: P &lt; 0.0167, the difference was significant compared with Group N by Bonferroni adjustment.</w:t>
      </w:r>
    </w:p>
    <w:p w14:paraId="26556BF4">
      <w:pPr>
        <w:widowControl/>
        <w:jc w:val="left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‡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: P &lt; 0.0167, the difference was significant compared with Group B by Bonferroni adjustment.</w:t>
      </w:r>
    </w:p>
    <w:p w14:paraId="2536A059">
      <w:pPr>
        <w:widowControl/>
        <w:jc w:val="left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</w:p>
    <w:p w14:paraId="74C47EE3">
      <w:pPr>
        <w:widowControl/>
        <w:jc w:val="center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drawing>
          <wp:inline distT="0" distB="0" distL="114300" distR="114300">
            <wp:extent cx="3566795" cy="2917190"/>
            <wp:effectExtent l="0" t="0" r="14605" b="8890"/>
            <wp:docPr id="1" name="图片 1" descr="随访间隔的舒芬用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随访间隔的舒芬用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66795" cy="291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F5D73">
      <w:pPr>
        <w:widowControl/>
        <w:jc w:val="left"/>
        <w:rPr>
          <w:rFonts w:ascii="Times New Roman" w:hAnsi="Times New Roman"/>
          <w:sz w:val="22"/>
        </w:rPr>
      </w:pPr>
    </w:p>
    <w:p w14:paraId="01CE8D77">
      <w:pPr>
        <w:widowControl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Figure </w:t>
      </w:r>
      <w:r>
        <w:rPr>
          <w:rFonts w:hint="eastAsia" w:ascii="Times New Roman" w:hAnsi="Times New Roman"/>
          <w:sz w:val="22"/>
          <w:lang w:val="en-US" w:eastAsia="zh-CN"/>
        </w:rPr>
        <w:t>S2</w:t>
      </w:r>
      <w:r>
        <w:rPr>
          <w:rFonts w:ascii="Times New Roman" w:hAnsi="Times New Roman"/>
          <w:sz w:val="22"/>
        </w:rPr>
        <w:t xml:space="preserve">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The increased consumption of sufentanil wi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thin intervals (μg·kg</w:t>
      </w:r>
      <w:r>
        <w:rPr>
          <w:rFonts w:hint="default" w:ascii="Times New Roman" w:hAnsi="Times New Roman" w:cs="Times New Roman"/>
          <w:sz w:val="22"/>
          <w:szCs w:val="22"/>
          <w:vertAlign w:val="superscript"/>
          <w:lang w:val="en-US" w:eastAsia="zh-CN"/>
        </w:rPr>
        <w:t>-1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)</w:t>
      </w:r>
      <w:r>
        <w:rPr>
          <w:rFonts w:hint="default" w:ascii="Times New Roman" w:hAnsi="Times New Roman" w:cs="Times New Roman"/>
          <w:color w:val="000000"/>
          <w:kern w:val="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PMingLiU" w:cs="Times New Roman"/>
          <w:kern w:val="0"/>
          <w:sz w:val="22"/>
          <w:szCs w:val="22"/>
          <w:lang w:val="en-US" w:eastAsia="zh-TW" w:bidi="ar"/>
        </w:rPr>
        <w:t xml:space="preserve">of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children</w:t>
      </w:r>
      <w:r>
        <w:rPr>
          <w:rFonts w:hint="default" w:ascii="Times New Roman" w:hAnsi="Times New Roman" w:eastAsia="PMingLiU" w:cs="Times New Roman"/>
          <w:kern w:val="0"/>
          <w:sz w:val="22"/>
          <w:szCs w:val="22"/>
          <w:lang w:val="en-US" w:eastAsia="zh-TW" w:bidi="ar"/>
        </w:rPr>
        <w:t xml:space="preserve"> receiving preoperative scalp nerve block, postoperative scalp nerve block or non-blocking</w:t>
      </w:r>
      <w:r>
        <w:rPr>
          <w:rFonts w:hint="default"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41864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200" w:line="240" w:lineRule="auto"/>
        <w:textAlignment w:val="auto"/>
        <w:rPr>
          <w:rFonts w:ascii="Times New Roman" w:hAnsi="Times New Roman" w:eastAsia="CharisSIL"/>
          <w:kern w:val="0"/>
          <w:sz w:val="18"/>
          <w:szCs w:val="18"/>
        </w:rPr>
      </w:pPr>
      <w:r>
        <w:rPr>
          <w:rFonts w:ascii="Times New Roman" w:hAnsi="Times New Roman" w:eastAsia="CharisSIL"/>
          <w:kern w:val="0"/>
          <w:sz w:val="18"/>
          <w:szCs w:val="18"/>
        </w:rPr>
        <w:t>Group B = perioperative (Before surgery) scalp nerve block group; Group A = postoperative (After surgery) scalp</w:t>
      </w:r>
      <w:r>
        <w:rPr>
          <w:rFonts w:hint="eastAsia" w:ascii="Times New Roman" w:hAnsi="Times New Roman" w:eastAsia="宋体"/>
          <w:kern w:val="0"/>
          <w:sz w:val="18"/>
          <w:szCs w:val="18"/>
          <w:lang w:val="en-US" w:eastAsia="zh-CN"/>
        </w:rPr>
        <w:t xml:space="preserve"> </w:t>
      </w:r>
      <w:r>
        <w:rPr>
          <w:rFonts w:ascii="Times New Roman" w:hAnsi="Times New Roman" w:eastAsia="CharisSIL"/>
          <w:kern w:val="0"/>
          <w:sz w:val="18"/>
          <w:szCs w:val="18"/>
        </w:rPr>
        <w:t>nerve block group; Group N = Nonblocking control group.</w:t>
      </w:r>
    </w:p>
    <w:p w14:paraId="166BD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eastAsia="CharisSIL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18"/>
          <w:szCs w:val="18"/>
        </w:rPr>
        <w:t>#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Group B is significantly lower than Group N </w:t>
      </w:r>
      <w:r>
        <w:rPr>
          <w:rFonts w:ascii="Times New Roman" w:hAnsi="Times New Roman" w:eastAsia="CharisSIL" w:cs="Times New Roman"/>
          <w:color w:val="000000"/>
          <w:kern w:val="0"/>
          <w:sz w:val="18"/>
          <w:szCs w:val="18"/>
        </w:rPr>
        <w:t>by Bonferroni adjustment (P&lt;0.0167).</w:t>
      </w:r>
    </w:p>
    <w:p w14:paraId="73B77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eastAsia="CharisSIL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* Group A is significantly lower than Group N </w:t>
      </w:r>
      <w:r>
        <w:rPr>
          <w:rFonts w:ascii="Times New Roman" w:hAnsi="Times New Roman" w:eastAsia="CharisSIL" w:cs="Times New Roman"/>
          <w:color w:val="000000"/>
          <w:kern w:val="0"/>
          <w:sz w:val="18"/>
          <w:szCs w:val="18"/>
        </w:rPr>
        <w:t>by</w:t>
      </w:r>
      <w:r>
        <w:rPr>
          <w:rFonts w:hint="eastAsia" w:ascii="Times New Roman" w:hAnsi="Times New Roman" w:eastAsia="CharisSIL" w:cs="Times New Roman"/>
          <w:color w:val="000000"/>
          <w:kern w:val="0"/>
          <w:sz w:val="18"/>
          <w:szCs w:val="18"/>
          <w:lang w:val="en-US" w:eastAsia="zh-CN"/>
        </w:rPr>
        <w:t xml:space="preserve"> </w:t>
      </w:r>
      <w:r>
        <w:rPr>
          <w:rFonts w:ascii="Times New Roman" w:hAnsi="Times New Roman" w:eastAsia="CharisSIL" w:cs="Times New Roman"/>
          <w:color w:val="000000"/>
          <w:kern w:val="0"/>
          <w:sz w:val="18"/>
          <w:szCs w:val="18"/>
        </w:rPr>
        <w:t>Bonferroni adjustment (P&lt;0.0167).</w:t>
      </w:r>
    </w:p>
    <w:p w14:paraId="7DA75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rPr>
          <w:rFonts w:hint="eastAsia" w:ascii="Symbol" w:hAnsi="Symbol" w:eastAsia="CharisSIL" w:cs="Symbol"/>
          <w:color w:val="000000"/>
          <w:kern w:val="0"/>
          <w:sz w:val="18"/>
          <w:szCs w:val="18"/>
          <w:lang w:val="en-US" w:eastAsia="zh-CN"/>
        </w:rPr>
        <w:t xml:space="preserve">F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Group </w:t>
      </w:r>
      <w:r>
        <w:rPr>
          <w:rFonts w:hint="eastAsia" w:ascii="Times New Roman" w:hAnsi="Times New Roman" w:cs="Times New Roman"/>
          <w:color w:val="000000"/>
          <w:kern w:val="0"/>
          <w:sz w:val="18"/>
          <w:szCs w:val="18"/>
          <w:lang w:val="en-US" w:eastAsia="zh-CN"/>
        </w:rPr>
        <w:t>A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is significantly lower than Group </w:t>
      </w:r>
      <w:r>
        <w:rPr>
          <w:rFonts w:hint="eastAsia" w:ascii="Times New Roman" w:hAnsi="Times New Roman" w:cs="Times New Roman"/>
          <w:color w:val="000000"/>
          <w:kern w:val="0"/>
          <w:sz w:val="18"/>
          <w:szCs w:val="18"/>
          <w:lang w:val="en-US" w:eastAsia="zh-CN"/>
        </w:rPr>
        <w:t>B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eastAsia="CharisSIL" w:cs="Times New Roman"/>
          <w:color w:val="000000"/>
          <w:kern w:val="0"/>
          <w:sz w:val="18"/>
          <w:szCs w:val="18"/>
        </w:rPr>
        <w:t>by</w:t>
      </w:r>
      <w:r>
        <w:rPr>
          <w:rFonts w:hint="eastAsia" w:ascii="Times New Roman" w:hAnsi="Times New Roman" w:eastAsia="CharisSIL" w:cs="Times New Roman"/>
          <w:color w:val="000000"/>
          <w:kern w:val="0"/>
          <w:sz w:val="18"/>
          <w:szCs w:val="18"/>
          <w:lang w:val="en-US" w:eastAsia="zh-CN"/>
        </w:rPr>
        <w:t xml:space="preserve"> </w:t>
      </w:r>
      <w:r>
        <w:rPr>
          <w:rFonts w:ascii="Times New Roman" w:hAnsi="Times New Roman" w:eastAsia="CharisSIL" w:cs="Times New Roman"/>
          <w:color w:val="000000"/>
          <w:kern w:val="0"/>
          <w:sz w:val="18"/>
          <w:szCs w:val="18"/>
        </w:rPr>
        <w:t>Bonferroni adjustment (P&lt;0.0167)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iMmJiYWZhYjJhNTNmMDI4OWY5NDdlY2U3YTI3YmMifQ=="/>
  </w:docVars>
  <w:rsids>
    <w:rsidRoot w:val="45352899"/>
    <w:rsid w:val="45352899"/>
    <w:rsid w:val="50F7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1379</Characters>
  <Lines>0</Lines>
  <Paragraphs>0</Paragraphs>
  <TotalTime>0</TotalTime>
  <ScaleCrop>false</ScaleCrop>
  <LinksUpToDate>false</LinksUpToDate>
  <CharactersWithSpaces>1570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2024-07-17T06:58:00Z</dcterms:created>
  <dc:creator>Erica</dc:creator>
  <cp:lastModifiedBy>Erica</cp:lastModifiedBy>
  <dcterms:modified xsi:type="dcterms:W3CDTF">2024-07-23T23:22:29Z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0368257574394A3C8FDE7A0356448A54_11</vt:lpwstr>
  </property>
</Properties>
</file>