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91B282">
      <w:pPr>
        <w:spacing w:line="276" w:lineRule="auto"/>
        <w:rPr>
          <w:rFonts w:hint="default" w:ascii="Arial" w:hAnsi="Arial" w:cs="Arial" w:eastAsiaTheme="minorEastAsia"/>
          <w:b/>
          <w:bCs/>
          <w:color w:val="FF0000"/>
          <w:sz w:val="24"/>
          <w:szCs w:val="24"/>
          <w:lang w:val="en-US" w:eastAsia="zh-CN"/>
        </w:rPr>
      </w:pPr>
      <w:r>
        <w:rPr>
          <w:rFonts w:hint="default" w:ascii="Arial" w:hAnsi="Arial" w:cs="Arial"/>
          <w:b/>
          <w:bCs/>
          <w:color w:val="FF0000"/>
          <w:sz w:val="24"/>
          <w:szCs w:val="24"/>
          <w:lang w:val="en-US" w:eastAsia="zh-CN"/>
        </w:rPr>
        <w:t>Data analysis of the secondary outcome of parental anxiety</w:t>
      </w:r>
    </w:p>
    <w:p w14:paraId="3DB64998">
      <w:pPr>
        <w:spacing w:line="276" w:lineRule="auto"/>
        <w:ind w:firstLine="480" w:firstLineChars="200"/>
        <w:rPr>
          <w:rFonts w:hint="eastAsia" w:eastAsiaTheme="minorEastAsia"/>
          <w:color w:val="FF0000"/>
          <w:lang w:val="en-US" w:eastAsia="zh-CN"/>
        </w:rPr>
      </w:pPr>
      <w:r>
        <w:rPr>
          <w:rFonts w:ascii="Arial" w:hAnsi="Arial" w:cs="Arial"/>
          <w:color w:val="FF0000"/>
          <w:sz w:val="24"/>
          <w:szCs w:val="24"/>
        </w:rPr>
        <w:t>A Bayesian network meta-analysis was conducted using Stata 14.0 and OpenBUGS software. Post-intervention measurements were selected for comparison. Continuous variables were analyzed employing SMD and 95% CrI, with statistical significance set at α=0.05. Global and local inconsistencies were assessed using inconsistency factors and node-splitting analyses, respectively</w:t>
      </w:r>
      <w:r>
        <w:rPr>
          <w:rFonts w:ascii="Arial" w:hAnsi="Arial" w:cs="Arial"/>
          <w:color w:val="FF0000"/>
          <w:sz w:val="24"/>
          <w:szCs w:val="24"/>
        </w:rPr>
        <w:fldChar w:fldCharType="begin"/>
      </w:r>
      <w:r>
        <w:rPr>
          <w:rFonts w:hint="eastAsia" w:ascii="Arial" w:hAnsi="Arial" w:cs="Arial"/>
          <w:color w:val="FF0000"/>
          <w:sz w:val="24"/>
          <w:szCs w:val="24"/>
          <w:lang w:eastAsia="zh-CN"/>
        </w:rPr>
        <w:instrText xml:space="preserve"> ADDIN EN.CITE </w:instrText>
      </w:r>
      <w:r>
        <w:rPr>
          <w:rFonts w:hint="eastAsia" w:ascii="Arial" w:hAnsi="Arial" w:cs="Arial"/>
          <w:color w:val="FF0000"/>
          <w:sz w:val="24"/>
          <w:szCs w:val="24"/>
          <w:lang w:eastAsia="zh-CN"/>
        </w:rPr>
        <w:fldChar w:fldCharType="begin">
          <w:fldData xml:space="preserve">PEVuZE5vdGU+PENpdGU+PEF1dGhvcj5TLiBEaWFzPC9BdXRob3I+PFllYXI+MjAwOTwvWWVhcj48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</w:fldData>
        </w:fldChar>
      </w:r>
      <w:r>
        <w:rPr>
          <w:rFonts w:hint="eastAsia" w:ascii="Arial" w:hAnsi="Arial" w:cs="Arial"/>
          <w:color w:val="FF0000"/>
          <w:sz w:val="24"/>
          <w:szCs w:val="24"/>
          <w:lang w:eastAsia="zh-CN"/>
        </w:rPr>
        <w:instrText xml:space="preserve"> ADDIN EN.CITE.DATA </w:instrText>
      </w:r>
      <w:r>
        <w:rPr>
          <w:rFonts w:hint="eastAsia" w:ascii="Arial" w:hAnsi="Arial" w:cs="Arial"/>
          <w:color w:val="FF0000"/>
          <w:sz w:val="24"/>
          <w:szCs w:val="24"/>
          <w:lang w:eastAsia="zh-CN"/>
        </w:rPr>
        <w:fldChar w:fldCharType="separate"/>
      </w:r>
      <w:r>
        <w:rPr>
          <w:rFonts w:hint="eastAsia" w:ascii="Arial" w:hAnsi="Arial" w:cs="Arial"/>
          <w:color w:val="FF0000"/>
          <w:sz w:val="24"/>
          <w:szCs w:val="24"/>
          <w:lang w:eastAsia="zh-CN"/>
        </w:rPr>
        <w:fldChar w:fldCharType="end"/>
      </w:r>
      <w:r>
        <w:rPr>
          <w:rFonts w:ascii="Arial" w:hAnsi="Arial" w:cs="Arial"/>
          <w:color w:val="FF0000"/>
          <w:sz w:val="24"/>
          <w:szCs w:val="24"/>
        </w:rPr>
        <w:fldChar w:fldCharType="separate"/>
      </w:r>
      <w:r>
        <w:rPr>
          <w:rFonts w:hint="eastAsia" w:ascii="Arial" w:hAnsi="Arial" w:cs="Arial" w:eastAsiaTheme="minorEastAsia"/>
          <w:color w:val="FF0000"/>
          <w:kern w:val="2"/>
          <w:sz w:val="24"/>
          <w:szCs w:val="24"/>
          <w:lang w:val="en-US" w:eastAsia="zh-CN" w:bidi="ar-SA"/>
        </w:rPr>
        <w:t>[1, 2]</w:t>
      </w:r>
      <w:r>
        <w:rPr>
          <w:rFonts w:ascii="Arial" w:hAnsi="Arial" w:cs="Arial"/>
          <w:color w:val="FF0000"/>
          <w:sz w:val="24"/>
          <w:szCs w:val="24"/>
        </w:rPr>
        <w:fldChar w:fldCharType="end"/>
      </w:r>
      <w:r>
        <w:rPr>
          <w:rFonts w:ascii="Arial" w:hAnsi="Arial" w:cs="Arial"/>
          <w:color w:val="FF0000"/>
          <w:sz w:val="24"/>
          <w:szCs w:val="24"/>
        </w:rPr>
        <w:t>. A p-value of &gt;0.05 indicated that there were no significant inconsistencies between the direct and indirect co</w:t>
      </w:r>
      <w:bookmarkStart w:id="0" w:name="_GoBack"/>
      <w:bookmarkEnd w:id="0"/>
      <w:r>
        <w:rPr>
          <w:rFonts w:ascii="Arial" w:hAnsi="Arial" w:cs="Arial"/>
          <w:color w:val="FF0000"/>
          <w:sz w:val="24"/>
          <w:szCs w:val="24"/>
        </w:rPr>
        <w:t>mparisons; in these cases, the consistency model was adopted. Otherwise, the inconsistency model was used to aggregate effect sizes and their 95% CrI for the various interventions. The network meta-analysis utilized the Bayesian framework and Markov Chain Monte Carlo simulations in OpenBUGS. To mitigate initial value bias, we ran 100,000 iterations on three chains after 50,000 burn-in periods. The model was considered appropriate when the posterior mean residual deviance closely matched the number of unconstrained data points. The intervention hierarchy was assessed using the Surface Under the Cumulative Ranking (SUCRA). A SUCRA value approaching 1 indicated greater efficacy, whereas a value closer to 0 suggested lower efficacy</w:t>
      </w:r>
      <w:r>
        <w:rPr>
          <w:rFonts w:ascii="Arial" w:hAnsi="Arial" w:cs="Arial"/>
          <w:color w:val="FF0000"/>
          <w:sz w:val="24"/>
          <w:szCs w:val="24"/>
        </w:rPr>
        <w:fldChar w:fldCharType="begin"/>
      </w:r>
      <w:r>
        <w:rPr>
          <w:rFonts w:hint="eastAsia" w:ascii="Arial" w:hAnsi="Arial" w:cs="Arial"/>
          <w:color w:val="FF0000"/>
          <w:sz w:val="24"/>
          <w:szCs w:val="24"/>
          <w:lang w:eastAsia="zh-CN"/>
        </w:rPr>
        <w:instrText xml:space="preserve"> ADDIN EN.CITE &lt;EndNote&gt;&lt;Cite&gt;&lt;Author&gt;Salanti&lt;/Author&gt;&lt;Year&gt;2011&lt;/Year&gt;&lt;RecNum&gt;2671&lt;/RecNum&gt;&lt;DisplayText&gt;[3]&lt;/DisplayText&gt;&lt;record&gt;&lt;rec-number&gt;2671&lt;/rec-number&gt;&lt;foreign-keys&gt;&lt;key app="EN" db-id="tp0dez5pg52dvpe9ptax92vhpzv0twpswwtp" timestamp="1646963602"&gt;2671&lt;/key&gt;&lt;/foreign-keys&gt;&lt;ref-type name="Journal Article"&gt;17&lt;/ref-type&gt;&lt;contributors&gt;&lt;authors&gt;&lt;author&gt;Salanti, G.&lt;/author&gt;&lt;author&gt;Ades, A. E.&lt;/author&gt;&lt;author&gt;Ioannidis, J. P.&lt;/author&gt;&lt;/authors&gt;&lt;/contributors&gt;&lt;auth-address&gt;Department of Hygiene and Epidemiology, University of Ioannina School of Medicine, Ioannina, Greece. gsalanti@cc.uoi.gr&lt;/auth-address&gt;&lt;titles&gt;&lt;title&gt;Graphical methods and numerical summaries for presenting results from multiple-treatment meta-analysis: an overview and tutorial&lt;/title&gt;&lt;secondary-title&gt;J Clin Epidemiol&lt;/secondary-title&gt;&lt;/titles&gt;&lt;periodical&gt;&lt;full-title&gt;J Clin Epidemiol&lt;/full-title&gt;&lt;/periodical&gt;&lt;pages&gt;163-71&lt;/pages&gt;&lt;volume&gt;64&lt;/volume&gt;&lt;number&gt;2&lt;/number&gt;&lt;edition&gt;2010/08/07&lt;/edition&gt;&lt;keywords&gt;&lt;keyword&gt;*Bayes Theorem&lt;/keyword&gt;&lt;keyword&gt;Clinical Trials as Topic/*statistics &amp;amp; numerical data&lt;/keyword&gt;&lt;keyword&gt;Data Display&lt;/keyword&gt;&lt;keyword&gt;Data Interpretation, Statistical&lt;/keyword&gt;&lt;keyword&gt;Humans&lt;/keyword&gt;&lt;keyword&gt;Ischemic Attack, Transient/drug therapy&lt;/keyword&gt;&lt;keyword&gt;*Meta-Analysis as Topic&lt;/keyword&gt;&lt;keyword&gt;Models, Statistical&lt;/keyword&gt;&lt;keyword&gt;Platelet Aggregation Inhibitors/therapeutic use&lt;/keyword&gt;&lt;keyword&gt;Stroke/drug therapy&lt;/keyword&gt;&lt;/keywords&gt;&lt;dates&gt;&lt;year&gt;2011&lt;/year&gt;&lt;pub-dates&gt;&lt;date&gt;Feb&lt;/date&gt;&lt;/pub-dates&gt;&lt;/dates&gt;&lt;isbn&gt;1878-5921 (Electronic)&amp;#xD;0895-4356 (Linking)&lt;/isbn&gt;&lt;accession-num&gt;20688472&lt;/accession-num&gt;&lt;urls&gt;&lt;related-urls&gt;&lt;url&gt;https://www.ncbi.nlm.nih.gov/pubmed/20688472&lt;/url&gt;&lt;/related-urls&gt;&lt;/urls&gt;&lt;electronic-resource-num&gt;10.1016/j.jclinepi.2010.03.016&lt;/electronic-resource-num&gt;&lt;/record&gt;&lt;/Cite&gt;&lt;/EndNote&gt;</w:instrText>
      </w:r>
      <w:r>
        <w:rPr>
          <w:rFonts w:ascii="Arial" w:hAnsi="Arial" w:cs="Arial"/>
          <w:color w:val="FF0000"/>
          <w:sz w:val="24"/>
          <w:szCs w:val="24"/>
        </w:rPr>
        <w:fldChar w:fldCharType="separate"/>
      </w:r>
      <w:r>
        <w:rPr>
          <w:rFonts w:hint="eastAsia" w:ascii="Arial" w:hAnsi="Arial" w:cs="Arial" w:eastAsiaTheme="minorEastAsia"/>
          <w:color w:val="FF0000"/>
          <w:kern w:val="2"/>
          <w:sz w:val="24"/>
          <w:szCs w:val="24"/>
          <w:lang w:val="en-US" w:eastAsia="zh-CN" w:bidi="ar-SA"/>
        </w:rPr>
        <w:t>[3]</w:t>
      </w:r>
      <w:r>
        <w:rPr>
          <w:rFonts w:ascii="Arial" w:hAnsi="Arial" w:cs="Arial"/>
          <w:color w:val="FF0000"/>
          <w:sz w:val="24"/>
          <w:szCs w:val="24"/>
        </w:rPr>
        <w:fldChar w:fldCharType="end"/>
      </w:r>
      <w:r>
        <w:rPr>
          <w:rFonts w:hint="eastAsia" w:ascii="Arial" w:hAnsi="Arial" w:cs="Arial"/>
          <w:color w:val="FF0000"/>
          <w:sz w:val="24"/>
          <w:szCs w:val="24"/>
          <w:lang w:val="en-US" w:eastAsia="zh-CN"/>
        </w:rPr>
        <w:t>.</w:t>
      </w:r>
    </w:p>
    <w:p w14:paraId="3E555A71">
      <w:pPr>
        <w:spacing w:line="276" w:lineRule="auto"/>
        <w:rPr>
          <w:rFonts w:ascii="Arial" w:hAnsi="Arial" w:cs="Arial"/>
          <w:color w:val="FF0000"/>
          <w:sz w:val="24"/>
          <w:szCs w:val="24"/>
        </w:rPr>
      </w:pPr>
    </w:p>
    <w:p w14:paraId="3EED3BA7">
      <w:pPr>
        <w:spacing w:line="276" w:lineRule="auto"/>
        <w:rPr>
          <w:rFonts w:ascii="Arial" w:hAnsi="Arial" w:cs="Arial"/>
          <w:b/>
          <w:bCs/>
          <w:color w:val="FF0000"/>
          <w:sz w:val="24"/>
          <w:szCs w:val="24"/>
        </w:rPr>
      </w:pPr>
      <w:r>
        <w:rPr>
          <w:rFonts w:hint="default" w:ascii="Arial" w:hAnsi="Arial" w:cs="Arial"/>
          <w:b/>
          <w:bCs/>
          <w:color w:val="FF0000"/>
          <w:sz w:val="24"/>
          <w:szCs w:val="24"/>
          <w:lang w:val="en-US" w:eastAsia="zh-CN"/>
        </w:rPr>
        <w:t xml:space="preserve">Data analysis </w:t>
      </w:r>
      <w:r>
        <w:rPr>
          <w:rFonts w:ascii="Arial" w:hAnsi="Arial" w:cs="Arial"/>
          <w:b/>
          <w:bCs/>
          <w:color w:val="FF0000"/>
          <w:sz w:val="24"/>
          <w:szCs w:val="24"/>
        </w:rPr>
        <w:t>the tertiary outcome of induction compliance of children</w:t>
      </w:r>
    </w:p>
    <w:p w14:paraId="3298FFAE">
      <w:pPr>
        <w:spacing w:line="276" w:lineRule="auto"/>
        <w:ind w:firstLine="480" w:firstLineChars="200"/>
        <w:rPr>
          <w:rFonts w:hint="default" w:ascii="Arial" w:hAnsi="Arial" w:cs="Arial" w:eastAsiaTheme="minorEastAsia"/>
          <w:color w:val="FF0000"/>
          <w:sz w:val="20"/>
          <w:szCs w:val="20"/>
          <w:lang w:val="en-US" w:eastAsia="zh-CN"/>
        </w:rPr>
      </w:pPr>
      <w:r>
        <w:rPr>
          <w:rFonts w:ascii="Arial" w:hAnsi="Arial" w:cs="Arial"/>
          <w:color w:val="FF0000"/>
          <w:sz w:val="24"/>
          <w:szCs w:val="24"/>
        </w:rPr>
        <w:t xml:space="preserve">A network meta-analysis was conducted using Stata 14.0 and a frequentist framework with a random-effects model. Post-intervention outcome measures were selected for comparison in all eligible studies. The mean difference (MD) and 95% confidence intervals (95% CI) were used as summary statistics in the network meta-analysis, with statistical significance set at α=0.05. Global and local inconsistencies were assessed using inconsistency factors and node-splitting analyses, respectively </w:t>
      </w:r>
      <w:r>
        <w:rPr>
          <w:rFonts w:ascii="Arial" w:hAnsi="Arial" w:cs="Arial"/>
          <w:color w:val="FF0000"/>
          <w:sz w:val="24"/>
          <w:szCs w:val="24"/>
        </w:rPr>
        <w:fldChar w:fldCharType="begin">
          <w:fldData xml:space="preserve">PEVuZE5vdGU+PENpdGU+PEF1dGhvcj5TLiBEaWFzPC9BdXRob3I+PFllYXI+MjAwOTwvWWVhcj48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</w:fldData>
        </w:fldChar>
      </w:r>
      <w:r>
        <w:rPr>
          <w:rFonts w:hint="eastAsia" w:ascii="Arial" w:hAnsi="Arial" w:cs="Arial"/>
          <w:color w:val="FF0000"/>
          <w:sz w:val="24"/>
          <w:szCs w:val="24"/>
          <w:lang w:eastAsia="zh-CN"/>
        </w:rPr>
        <w:instrText xml:space="preserve"> ADDIN EN.CITE </w:instrText>
      </w:r>
      <w:r>
        <w:rPr>
          <w:rFonts w:hint="eastAsia" w:ascii="Arial" w:hAnsi="Arial" w:cs="Arial"/>
          <w:color w:val="FF0000"/>
          <w:sz w:val="24"/>
          <w:szCs w:val="24"/>
          <w:lang w:eastAsia="zh-CN"/>
        </w:rPr>
        <w:fldChar w:fldCharType="begin">
          <w:fldData xml:space="preserve">PEVuZE5vdGU+PENpdGU+PEF1dGhvcj5TLiBEaWFzPC9BdXRob3I+PFllYXI+MjAwOTwvWWVhcj48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</w:fldData>
        </w:fldChar>
      </w:r>
      <w:r>
        <w:rPr>
          <w:rFonts w:hint="eastAsia" w:ascii="Arial" w:hAnsi="Arial" w:cs="Arial"/>
          <w:color w:val="FF0000"/>
          <w:sz w:val="24"/>
          <w:szCs w:val="24"/>
          <w:lang w:eastAsia="zh-CN"/>
        </w:rPr>
        <w:instrText xml:space="preserve"> ADDIN EN.CITE.DATA </w:instrText>
      </w:r>
      <w:r>
        <w:rPr>
          <w:rFonts w:hint="eastAsia" w:ascii="Arial" w:hAnsi="Arial" w:cs="Arial"/>
          <w:color w:val="FF0000"/>
          <w:sz w:val="24"/>
          <w:szCs w:val="24"/>
          <w:lang w:eastAsia="zh-CN"/>
        </w:rPr>
        <w:fldChar w:fldCharType="separate"/>
      </w:r>
      <w:r>
        <w:rPr>
          <w:rFonts w:hint="eastAsia" w:ascii="Arial" w:hAnsi="Arial" w:cs="Arial"/>
          <w:color w:val="FF0000"/>
          <w:sz w:val="24"/>
          <w:szCs w:val="24"/>
          <w:lang w:eastAsia="zh-CN"/>
        </w:rPr>
        <w:fldChar w:fldCharType="end"/>
      </w:r>
      <w:r>
        <w:rPr>
          <w:rFonts w:ascii="Arial" w:hAnsi="Arial" w:cs="Arial"/>
          <w:color w:val="FF0000"/>
          <w:sz w:val="24"/>
          <w:szCs w:val="24"/>
        </w:rPr>
        <w:fldChar w:fldCharType="separate"/>
      </w:r>
      <w:r>
        <w:rPr>
          <w:rFonts w:hint="eastAsia" w:ascii="Arial" w:hAnsi="Arial" w:cs="Arial" w:eastAsiaTheme="minorEastAsia"/>
          <w:color w:val="FF0000"/>
          <w:kern w:val="2"/>
          <w:sz w:val="24"/>
          <w:szCs w:val="24"/>
          <w:lang w:val="en-US" w:eastAsia="zh-CN" w:bidi="ar-SA"/>
        </w:rPr>
        <w:t>[1, 2]</w:t>
      </w:r>
      <w:r>
        <w:rPr>
          <w:rFonts w:ascii="Arial" w:hAnsi="Arial" w:cs="Arial"/>
          <w:color w:val="FF0000"/>
          <w:sz w:val="24"/>
          <w:szCs w:val="24"/>
        </w:rPr>
        <w:fldChar w:fldCharType="end"/>
      </w:r>
      <w:r>
        <w:rPr>
          <w:rFonts w:ascii="Arial" w:hAnsi="Arial" w:cs="Arial"/>
          <w:color w:val="FF0000"/>
          <w:sz w:val="24"/>
          <w:szCs w:val="24"/>
        </w:rPr>
        <w:t>.A p-value of &gt;0.05 indicated no significant inconsistencies between the direct and indirect comparisons; in these cases, the consistency model was adopted. Otherwise, the inconsistency model was used to aggregate effect sizes and their 95% CI for the various interventions. The intervention hierarchy was assessed using the SUCRA. A SUCRA value approaching 1 indicated greater efficacy, whereas a value closer to 0 suggested lower efficacy</w:t>
      </w:r>
      <w:r>
        <w:rPr>
          <w:rFonts w:hint="eastAsia" w:ascii="Arial" w:hAnsi="Arial" w:cs="Arial"/>
          <w:color w:val="FF0000"/>
          <w:sz w:val="24"/>
          <w:szCs w:val="24"/>
        </w:rPr>
        <w:fldChar w:fldCharType="begin"/>
      </w:r>
      <w:r>
        <w:rPr>
          <w:rFonts w:hint="eastAsia" w:ascii="Arial" w:hAnsi="Arial" w:cs="Arial"/>
          <w:color w:val="FF0000"/>
          <w:sz w:val="24"/>
          <w:szCs w:val="24"/>
          <w:lang w:eastAsia="zh-CN"/>
        </w:rPr>
        <w:instrText xml:space="preserve"> ADDIN EN.CITE &lt;EndNote&gt;&lt;Cite&gt;&lt;Author&gt;Salanti&lt;/Author&gt;&lt;Year&gt;2011&lt;/Year&gt;&lt;RecNum&gt;2671&lt;/RecNum&gt;&lt;DisplayText&gt;[3]&lt;/DisplayText&gt;&lt;record&gt;&lt;rec-number&gt;2671&lt;/rec-number&gt;&lt;foreign-keys&gt;&lt;key app="EN" db-id="tp0dez5pg52dvpe9ptax92vhpzv0twpswwtp" timestamp="1646963602"&gt;2671&lt;/key&gt;&lt;/foreign-keys&gt;&lt;ref-type name="Journal Article"&gt;17&lt;/ref-type&gt;&lt;contributors&gt;&lt;authors&gt;&lt;author&gt;Salanti, G.&lt;/author&gt;&lt;author&gt;Ades, A. E.&lt;/author&gt;&lt;author&gt;Ioannidis, J. P.&lt;/author&gt;&lt;/authors&gt;&lt;/contributors&gt;&lt;auth-address&gt;Department of Hygiene and Epidemiology, University of Ioannina School of Medicine, Ioannina, Greece. gsalanti@cc.uoi.gr&lt;/auth-address&gt;&lt;titles&gt;&lt;title&gt;Graphical methods and numerical summaries for presenting results from multiple-treatment meta-analysis: an overview and tutorial&lt;/title&gt;&lt;secondary-title&gt;J Clin Epidemiol&lt;/secondary-title&gt;&lt;/titles&gt;&lt;periodical&gt;&lt;full-title&gt;J Clin Epidemiol&lt;/full-title&gt;&lt;/periodical&gt;&lt;pages&gt;163-71&lt;/pages&gt;&lt;volume&gt;64&lt;/volume&gt;&lt;number&gt;2&lt;/number&gt;&lt;edition&gt;2010/08/07&lt;/edition&gt;&lt;keywords&gt;&lt;keyword&gt;*Bayes Theorem&lt;/keyword&gt;&lt;keyword&gt;Clinical Trials as Topic/*statistics &amp;amp; numerical data&lt;/keyword&gt;&lt;keyword&gt;Data Display&lt;/keyword&gt;&lt;keyword&gt;Data Interpretation, Statistical&lt;/keyword&gt;&lt;keyword&gt;Humans&lt;/keyword&gt;&lt;keyword&gt;Ischemic Attack, Transient/drug therapy&lt;/keyword&gt;&lt;keyword&gt;*Meta-Analysis as Topic&lt;/keyword&gt;&lt;keyword&gt;Models, Statistical&lt;/keyword&gt;&lt;keyword&gt;Platelet Aggregation Inhibitors/therapeutic use&lt;/keyword&gt;&lt;keyword&gt;Stroke/drug therapy&lt;/keyword&gt;&lt;/keywords&gt;&lt;dates&gt;&lt;year&gt;2011&lt;/year&gt;&lt;pub-dates&gt;&lt;date&gt;Feb&lt;/date&gt;&lt;/pub-dates&gt;&lt;/dates&gt;&lt;isbn&gt;1878-5921 (Electronic)&amp;#xD;0895-4356 (Linking)&lt;/isbn&gt;&lt;accession-num&gt;20688472&lt;/accession-num&gt;&lt;urls&gt;&lt;related-urls&gt;&lt;url&gt;https://www.ncbi.nlm.nih.gov/pubmed/20688472&lt;/url&gt;&lt;/related-urls&gt;&lt;/urls&gt;&lt;electronic-resource-num&gt;10.1016/j.jclinepi.2010.03.016&lt;/electronic-resource-num&gt;&lt;/record&gt;&lt;/Cite&gt;&lt;/EndNote&gt;</w:instrText>
      </w:r>
      <w:r>
        <w:rPr>
          <w:rFonts w:hint="eastAsia" w:ascii="Arial" w:hAnsi="Arial" w:cs="Arial"/>
          <w:color w:val="FF0000"/>
          <w:sz w:val="24"/>
          <w:szCs w:val="24"/>
        </w:rPr>
        <w:fldChar w:fldCharType="separate"/>
      </w:r>
      <w:r>
        <w:rPr>
          <w:rFonts w:hint="eastAsia" w:ascii="Arial" w:hAnsi="Arial" w:cs="Arial" w:eastAsiaTheme="minorEastAsia"/>
          <w:color w:val="FF0000"/>
          <w:kern w:val="2"/>
          <w:sz w:val="24"/>
          <w:szCs w:val="24"/>
          <w:lang w:val="en-US" w:eastAsia="zh-CN" w:bidi="ar-SA"/>
        </w:rPr>
        <w:t>[3]</w:t>
      </w:r>
      <w:r>
        <w:rPr>
          <w:rFonts w:hint="eastAsia" w:ascii="Arial" w:hAnsi="Arial" w:cs="Arial"/>
          <w:color w:val="FF0000"/>
          <w:sz w:val="24"/>
          <w:szCs w:val="24"/>
        </w:rPr>
        <w:fldChar w:fldCharType="end"/>
      </w:r>
      <w:r>
        <w:rPr>
          <w:rFonts w:hint="eastAsia" w:ascii="Arial" w:hAnsi="Arial" w:cs="Arial"/>
          <w:color w:val="FF0000"/>
          <w:sz w:val="24"/>
          <w:szCs w:val="24"/>
          <w:lang w:val="en-US" w:eastAsia="zh-CN"/>
        </w:rPr>
        <w:t>.</w:t>
      </w:r>
    </w:p>
    <w:p w14:paraId="33A8D08F">
      <w:pPr>
        <w:rPr>
          <w:rFonts w:ascii="Arial" w:hAnsi="Arial" w:cs="Arial"/>
          <w:color w:val="FF0000"/>
          <w:sz w:val="24"/>
          <w:szCs w:val="24"/>
        </w:rPr>
      </w:pPr>
    </w:p>
    <w:p w14:paraId="5F03600B">
      <w:pPr>
        <w:rPr>
          <w:rFonts w:ascii="Arial" w:hAnsi="Arial" w:cs="Arial"/>
          <w:color w:val="FF0000"/>
          <w:sz w:val="24"/>
          <w:szCs w:val="24"/>
        </w:rPr>
      </w:pPr>
    </w:p>
    <w:p w14:paraId="26F53D3F">
      <w:pPr>
        <w:rPr>
          <w:rFonts w:ascii="Arial" w:hAnsi="Arial" w:cs="Arial"/>
          <w:color w:val="FF0000"/>
          <w:sz w:val="24"/>
          <w:szCs w:val="24"/>
        </w:rPr>
      </w:pPr>
    </w:p>
    <w:p w14:paraId="467419FC">
      <w:pPr>
        <w:rPr>
          <w:rFonts w:ascii="Arial" w:hAnsi="Arial" w:cs="Arial"/>
          <w:color w:val="FF0000"/>
          <w:sz w:val="24"/>
          <w:szCs w:val="24"/>
        </w:rPr>
      </w:pPr>
    </w:p>
    <w:p w14:paraId="65481B92">
      <w:pPr>
        <w:rPr>
          <w:rFonts w:ascii="Arial" w:hAnsi="Arial" w:cs="Arial"/>
          <w:color w:val="FF0000"/>
          <w:sz w:val="24"/>
          <w:szCs w:val="24"/>
        </w:rPr>
      </w:pPr>
    </w:p>
    <w:p w14:paraId="5C6C4A9C">
      <w:pPr>
        <w:rPr>
          <w:rFonts w:ascii="Arial" w:hAnsi="Arial" w:cs="Arial"/>
          <w:color w:val="FF0000"/>
          <w:sz w:val="24"/>
          <w:szCs w:val="24"/>
        </w:rPr>
      </w:pPr>
    </w:p>
    <w:p w14:paraId="52150B38">
      <w:pPr>
        <w:rPr>
          <w:rFonts w:hint="default" w:eastAsiaTheme="minorEastAsia"/>
          <w:color w:val="FF0000"/>
          <w:lang w:val="en-US" w:eastAsia="zh-CN"/>
        </w:rPr>
      </w:pPr>
      <w:r>
        <w:rPr>
          <w:rFonts w:ascii="Arial" w:hAnsi="Arial" w:cs="Arial"/>
          <w:color w:val="FF0000"/>
          <w:sz w:val="24"/>
          <w:szCs w:val="24"/>
        </w:rPr>
        <w:t xml:space="preserve">Table1 Network league table of NMA for </w:t>
      </w:r>
      <w:r>
        <w:rPr>
          <w:rFonts w:hint="eastAsia" w:ascii="Arial" w:hAnsi="Arial" w:cs="Arial"/>
          <w:color w:val="FF0000"/>
          <w:sz w:val="24"/>
          <w:szCs w:val="24"/>
          <w:lang w:val="en-US" w:eastAsia="zh-CN"/>
        </w:rPr>
        <w:t>children</w:t>
      </w:r>
      <w:r>
        <w:rPr>
          <w:rFonts w:hint="default" w:ascii="Arial" w:hAnsi="Arial" w:cs="Arial"/>
          <w:color w:val="FF0000"/>
          <w:sz w:val="24"/>
          <w:szCs w:val="24"/>
          <w:lang w:val="en-US" w:eastAsia="zh-CN"/>
        </w:rPr>
        <w:t>’</w:t>
      </w:r>
      <w:r>
        <w:rPr>
          <w:rFonts w:hint="eastAsia" w:ascii="Arial" w:hAnsi="Arial" w:cs="Arial"/>
          <w:color w:val="FF0000"/>
          <w:sz w:val="24"/>
          <w:szCs w:val="24"/>
          <w:lang w:val="en-US" w:eastAsia="zh-CN"/>
        </w:rPr>
        <w:t xml:space="preserve">s </w:t>
      </w:r>
      <w:r>
        <w:rPr>
          <w:rFonts w:ascii="Arial" w:hAnsi="Arial" w:cs="Arial"/>
          <w:color w:val="FF0000"/>
          <w:sz w:val="24"/>
          <w:szCs w:val="24"/>
        </w:rPr>
        <w:t>anxiety</w:t>
      </w:r>
      <w:r>
        <w:rPr>
          <w:rFonts w:hint="eastAsia" w:ascii="Arial" w:hAnsi="Arial" w:cs="Arial"/>
          <w:color w:val="FF0000"/>
          <w:sz w:val="24"/>
          <w:szCs w:val="24"/>
          <w:lang w:val="en-US" w:eastAsia="zh-CN"/>
        </w:rPr>
        <w:t xml:space="preserve"> during</w:t>
      </w:r>
      <w:r>
        <w:rPr>
          <w:rFonts w:hint="eastAsia" w:ascii="Arial" w:hAnsi="Arial" w:cs="Arial"/>
          <w:color w:val="FF0000"/>
          <w:sz w:val="24"/>
          <w:szCs w:val="24"/>
        </w:rPr>
        <w:t xml:space="preserve"> inhalation anesthesia induction</w:t>
      </w:r>
    </w:p>
    <w:tbl>
      <w:tblPr>
        <w:tblStyle w:val="5"/>
        <w:tblW w:w="87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1"/>
        <w:gridCol w:w="1251"/>
        <w:gridCol w:w="1251"/>
        <w:gridCol w:w="1251"/>
        <w:gridCol w:w="1251"/>
        <w:gridCol w:w="1251"/>
        <w:gridCol w:w="1252"/>
      </w:tblGrid>
      <w:tr w14:paraId="54B71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251" w:type="dxa"/>
            <w:tcBorders>
              <w:right w:val="single" w:color="auto" w:sz="4" w:space="0"/>
            </w:tcBorders>
            <w:vAlign w:val="center"/>
          </w:tcPr>
          <w:p w14:paraId="6B7B3601">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SUCRA=92%</w:t>
            </w:r>
          </w:p>
        </w:tc>
        <w:tc>
          <w:tcPr>
            <w:tcW w:w="1251" w:type="dxa"/>
            <w:tcBorders>
              <w:top w:val="nil"/>
              <w:left w:val="single" w:color="auto" w:sz="4" w:space="0"/>
              <w:bottom w:val="single" w:color="auto" w:sz="4" w:space="0"/>
              <w:right w:val="nil"/>
            </w:tcBorders>
            <w:vAlign w:val="center"/>
          </w:tcPr>
          <w:p w14:paraId="3E2F5A42">
            <w:pPr>
              <w:jc w:val="center"/>
              <w:textAlignment w:val="center"/>
              <w:rPr>
                <w:rFonts w:ascii="Times New Roman" w:hAnsi="Times New Roman" w:eastAsia="宋体" w:cs="Times New Roman"/>
                <w:b/>
                <w:bCs/>
                <w:color w:val="FF0000"/>
                <w:kern w:val="0"/>
                <w:sz w:val="15"/>
                <w:szCs w:val="15"/>
                <w:u w:val="none"/>
                <w:vertAlign w:val="baseline"/>
                <w:lang w:bidi="ar"/>
              </w:rPr>
            </w:pPr>
          </w:p>
        </w:tc>
        <w:tc>
          <w:tcPr>
            <w:tcW w:w="1251" w:type="dxa"/>
            <w:tcBorders>
              <w:top w:val="nil"/>
              <w:left w:val="nil"/>
              <w:bottom w:val="nil"/>
              <w:right w:val="nil"/>
            </w:tcBorders>
            <w:vAlign w:val="center"/>
          </w:tcPr>
          <w:p w14:paraId="74FEDD7C">
            <w:pPr>
              <w:jc w:val="center"/>
              <w:textAlignment w:val="center"/>
              <w:rPr>
                <w:rFonts w:ascii="Times New Roman" w:hAnsi="Times New Roman" w:eastAsia="宋体" w:cs="Times New Roman"/>
                <w:b/>
                <w:bCs/>
                <w:color w:val="FF0000"/>
                <w:kern w:val="0"/>
                <w:sz w:val="15"/>
                <w:szCs w:val="15"/>
                <w:u w:val="none"/>
                <w:vertAlign w:val="baseline"/>
                <w:lang w:bidi="ar"/>
              </w:rPr>
            </w:pPr>
          </w:p>
        </w:tc>
        <w:tc>
          <w:tcPr>
            <w:tcW w:w="1251" w:type="dxa"/>
            <w:tcBorders>
              <w:top w:val="nil"/>
              <w:left w:val="nil"/>
              <w:bottom w:val="nil"/>
              <w:right w:val="nil"/>
            </w:tcBorders>
            <w:vAlign w:val="center"/>
          </w:tcPr>
          <w:p w14:paraId="3A480D74">
            <w:pPr>
              <w:jc w:val="center"/>
              <w:textAlignment w:val="center"/>
              <w:rPr>
                <w:rFonts w:ascii="Times New Roman" w:hAnsi="Times New Roman" w:eastAsia="宋体" w:cs="Times New Roman"/>
                <w:b/>
                <w:bCs/>
                <w:color w:val="FF0000"/>
                <w:kern w:val="0"/>
                <w:sz w:val="15"/>
                <w:szCs w:val="15"/>
                <w:u w:val="none"/>
                <w:vertAlign w:val="baseline"/>
                <w:lang w:bidi="ar"/>
              </w:rPr>
            </w:pPr>
          </w:p>
        </w:tc>
        <w:tc>
          <w:tcPr>
            <w:tcW w:w="1251" w:type="dxa"/>
            <w:tcBorders>
              <w:top w:val="nil"/>
              <w:left w:val="nil"/>
              <w:bottom w:val="nil"/>
              <w:right w:val="nil"/>
            </w:tcBorders>
            <w:vAlign w:val="center"/>
          </w:tcPr>
          <w:p w14:paraId="7921F33A">
            <w:pPr>
              <w:jc w:val="center"/>
              <w:textAlignment w:val="center"/>
              <w:rPr>
                <w:rFonts w:ascii="Times New Roman" w:hAnsi="Times New Roman" w:eastAsia="宋体" w:cs="Times New Roman"/>
                <w:b/>
                <w:bCs/>
                <w:color w:val="FF0000"/>
                <w:kern w:val="0"/>
                <w:sz w:val="15"/>
                <w:szCs w:val="15"/>
                <w:u w:val="none"/>
                <w:vertAlign w:val="baseline"/>
                <w:lang w:bidi="ar"/>
              </w:rPr>
            </w:pPr>
          </w:p>
        </w:tc>
        <w:tc>
          <w:tcPr>
            <w:tcW w:w="1251" w:type="dxa"/>
            <w:tcBorders>
              <w:top w:val="nil"/>
              <w:left w:val="nil"/>
              <w:bottom w:val="nil"/>
              <w:right w:val="nil"/>
            </w:tcBorders>
            <w:vAlign w:val="center"/>
          </w:tcPr>
          <w:p w14:paraId="49EA15D0">
            <w:pPr>
              <w:jc w:val="center"/>
              <w:textAlignment w:val="center"/>
              <w:rPr>
                <w:rFonts w:ascii="Times New Roman" w:hAnsi="Times New Roman" w:eastAsia="宋体" w:cs="Times New Roman"/>
                <w:b/>
                <w:bCs/>
                <w:color w:val="FF0000"/>
                <w:kern w:val="0"/>
                <w:sz w:val="15"/>
                <w:szCs w:val="15"/>
                <w:u w:val="none"/>
                <w:vertAlign w:val="baseline"/>
                <w:lang w:bidi="ar"/>
              </w:rPr>
            </w:pPr>
          </w:p>
        </w:tc>
        <w:tc>
          <w:tcPr>
            <w:tcW w:w="1252" w:type="dxa"/>
            <w:tcBorders>
              <w:top w:val="nil"/>
              <w:left w:val="nil"/>
              <w:bottom w:val="nil"/>
              <w:right w:val="nil"/>
            </w:tcBorders>
            <w:vAlign w:val="center"/>
          </w:tcPr>
          <w:p w14:paraId="3A3A59F1">
            <w:pPr>
              <w:jc w:val="center"/>
              <w:textAlignment w:val="center"/>
              <w:rPr>
                <w:rFonts w:ascii="Times New Roman" w:hAnsi="Times New Roman" w:eastAsia="宋体" w:cs="Times New Roman"/>
                <w:b/>
                <w:bCs/>
                <w:color w:val="FF0000"/>
                <w:kern w:val="0"/>
                <w:sz w:val="15"/>
                <w:szCs w:val="15"/>
                <w:u w:val="none"/>
                <w:vertAlign w:val="baseline"/>
                <w:lang w:bidi="ar"/>
              </w:rPr>
            </w:pPr>
          </w:p>
        </w:tc>
      </w:tr>
      <w:tr w14:paraId="36086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251" w:type="dxa"/>
            <w:vAlign w:val="center"/>
          </w:tcPr>
          <w:p w14:paraId="198F3125">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IDI-PPIA group</w:t>
            </w:r>
          </w:p>
        </w:tc>
        <w:tc>
          <w:tcPr>
            <w:tcW w:w="1251" w:type="dxa"/>
            <w:tcBorders>
              <w:top w:val="single" w:color="auto" w:sz="4" w:space="0"/>
              <w:right w:val="single" w:color="auto" w:sz="4" w:space="0"/>
            </w:tcBorders>
            <w:vAlign w:val="center"/>
          </w:tcPr>
          <w:p w14:paraId="50BCCA44">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SUCRA=73%</w:t>
            </w:r>
          </w:p>
        </w:tc>
        <w:tc>
          <w:tcPr>
            <w:tcW w:w="1251" w:type="dxa"/>
            <w:tcBorders>
              <w:top w:val="nil"/>
              <w:left w:val="single" w:color="auto" w:sz="4" w:space="0"/>
              <w:bottom w:val="single" w:color="auto" w:sz="4" w:space="0"/>
              <w:right w:val="nil"/>
            </w:tcBorders>
            <w:vAlign w:val="center"/>
          </w:tcPr>
          <w:p w14:paraId="6577F7B9">
            <w:pPr>
              <w:jc w:val="center"/>
              <w:textAlignment w:val="center"/>
              <w:rPr>
                <w:rFonts w:ascii="Times New Roman" w:hAnsi="Times New Roman" w:eastAsia="宋体" w:cs="Times New Roman"/>
                <w:b/>
                <w:bCs/>
                <w:color w:val="FF0000"/>
                <w:kern w:val="0"/>
                <w:sz w:val="15"/>
                <w:szCs w:val="15"/>
                <w:u w:val="none"/>
                <w:vertAlign w:val="baseline"/>
                <w:lang w:bidi="ar"/>
              </w:rPr>
            </w:pPr>
          </w:p>
        </w:tc>
        <w:tc>
          <w:tcPr>
            <w:tcW w:w="1251" w:type="dxa"/>
            <w:tcBorders>
              <w:top w:val="nil"/>
              <w:left w:val="nil"/>
              <w:bottom w:val="nil"/>
              <w:right w:val="nil"/>
            </w:tcBorders>
            <w:vAlign w:val="center"/>
          </w:tcPr>
          <w:p w14:paraId="5DAD06B5">
            <w:pPr>
              <w:jc w:val="center"/>
              <w:textAlignment w:val="center"/>
              <w:rPr>
                <w:rFonts w:ascii="Times New Roman" w:hAnsi="Times New Roman" w:eastAsia="宋体" w:cs="Times New Roman"/>
                <w:b/>
                <w:bCs/>
                <w:color w:val="FF0000"/>
                <w:kern w:val="0"/>
                <w:sz w:val="15"/>
                <w:szCs w:val="15"/>
                <w:u w:val="none"/>
                <w:vertAlign w:val="baseline"/>
                <w:lang w:bidi="ar"/>
              </w:rPr>
            </w:pPr>
          </w:p>
        </w:tc>
        <w:tc>
          <w:tcPr>
            <w:tcW w:w="1251" w:type="dxa"/>
            <w:tcBorders>
              <w:top w:val="nil"/>
              <w:left w:val="nil"/>
              <w:bottom w:val="nil"/>
              <w:right w:val="nil"/>
            </w:tcBorders>
            <w:vAlign w:val="center"/>
          </w:tcPr>
          <w:p w14:paraId="7DA5B30C">
            <w:pPr>
              <w:jc w:val="center"/>
              <w:textAlignment w:val="center"/>
              <w:rPr>
                <w:rFonts w:ascii="Times New Roman" w:hAnsi="Times New Roman" w:eastAsia="宋体" w:cs="Times New Roman"/>
                <w:b/>
                <w:bCs/>
                <w:color w:val="FF0000"/>
                <w:kern w:val="0"/>
                <w:sz w:val="15"/>
                <w:szCs w:val="15"/>
                <w:u w:val="none"/>
                <w:vertAlign w:val="baseline"/>
                <w:lang w:bidi="ar"/>
              </w:rPr>
            </w:pPr>
          </w:p>
        </w:tc>
        <w:tc>
          <w:tcPr>
            <w:tcW w:w="1251" w:type="dxa"/>
            <w:tcBorders>
              <w:top w:val="nil"/>
              <w:left w:val="nil"/>
              <w:bottom w:val="nil"/>
              <w:right w:val="nil"/>
            </w:tcBorders>
            <w:vAlign w:val="center"/>
          </w:tcPr>
          <w:p w14:paraId="3BF331BF">
            <w:pPr>
              <w:jc w:val="center"/>
              <w:textAlignment w:val="center"/>
              <w:rPr>
                <w:rFonts w:ascii="Times New Roman" w:hAnsi="Times New Roman" w:eastAsia="宋体" w:cs="Times New Roman"/>
                <w:b/>
                <w:bCs/>
                <w:color w:val="FF0000"/>
                <w:kern w:val="0"/>
                <w:sz w:val="15"/>
                <w:szCs w:val="15"/>
                <w:u w:val="none"/>
                <w:vertAlign w:val="baseline"/>
                <w:lang w:bidi="ar"/>
              </w:rPr>
            </w:pPr>
          </w:p>
        </w:tc>
        <w:tc>
          <w:tcPr>
            <w:tcW w:w="1252" w:type="dxa"/>
            <w:tcBorders>
              <w:top w:val="nil"/>
              <w:left w:val="nil"/>
              <w:bottom w:val="nil"/>
              <w:right w:val="nil"/>
            </w:tcBorders>
            <w:vAlign w:val="center"/>
          </w:tcPr>
          <w:p w14:paraId="4705444D">
            <w:pPr>
              <w:jc w:val="center"/>
              <w:textAlignment w:val="center"/>
              <w:rPr>
                <w:rFonts w:ascii="Times New Roman" w:hAnsi="Times New Roman" w:eastAsia="宋体" w:cs="Times New Roman"/>
                <w:b/>
                <w:bCs/>
                <w:color w:val="FF0000"/>
                <w:kern w:val="0"/>
                <w:sz w:val="15"/>
                <w:szCs w:val="15"/>
                <w:u w:val="none"/>
                <w:vertAlign w:val="baseline"/>
                <w:lang w:bidi="ar"/>
              </w:rPr>
            </w:pPr>
          </w:p>
        </w:tc>
      </w:tr>
      <w:tr w14:paraId="24DB3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251" w:type="dxa"/>
            <w:vAlign w:val="center"/>
          </w:tcPr>
          <w:p w14:paraId="40E4A4B0">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-0.47 (-1.64,0.71)</w:t>
            </w:r>
          </w:p>
        </w:tc>
        <w:tc>
          <w:tcPr>
            <w:tcW w:w="1251" w:type="dxa"/>
            <w:vAlign w:val="center"/>
          </w:tcPr>
          <w:p w14:paraId="2155BA9B">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PDI-PPIA group</w:t>
            </w:r>
          </w:p>
        </w:tc>
        <w:tc>
          <w:tcPr>
            <w:tcW w:w="1251" w:type="dxa"/>
            <w:tcBorders>
              <w:top w:val="single" w:color="auto" w:sz="4" w:space="0"/>
              <w:right w:val="single" w:color="auto" w:sz="4" w:space="0"/>
            </w:tcBorders>
            <w:vAlign w:val="center"/>
          </w:tcPr>
          <w:p w14:paraId="07474F59">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SUCRA=58%</w:t>
            </w:r>
          </w:p>
        </w:tc>
        <w:tc>
          <w:tcPr>
            <w:tcW w:w="1251" w:type="dxa"/>
            <w:tcBorders>
              <w:top w:val="nil"/>
              <w:left w:val="single" w:color="auto" w:sz="4" w:space="0"/>
              <w:bottom w:val="single" w:color="auto" w:sz="4" w:space="0"/>
              <w:right w:val="nil"/>
            </w:tcBorders>
            <w:vAlign w:val="center"/>
          </w:tcPr>
          <w:p w14:paraId="73A884C4">
            <w:pPr>
              <w:jc w:val="center"/>
              <w:textAlignment w:val="center"/>
              <w:rPr>
                <w:rFonts w:ascii="Times New Roman" w:hAnsi="Times New Roman" w:eastAsia="宋体" w:cs="Times New Roman"/>
                <w:b/>
                <w:bCs/>
                <w:color w:val="FF0000"/>
                <w:kern w:val="0"/>
                <w:sz w:val="15"/>
                <w:szCs w:val="15"/>
                <w:u w:val="none"/>
                <w:vertAlign w:val="baseline"/>
                <w:lang w:bidi="ar"/>
              </w:rPr>
            </w:pPr>
          </w:p>
        </w:tc>
        <w:tc>
          <w:tcPr>
            <w:tcW w:w="1251" w:type="dxa"/>
            <w:tcBorders>
              <w:top w:val="nil"/>
              <w:left w:val="nil"/>
              <w:bottom w:val="nil"/>
              <w:right w:val="nil"/>
            </w:tcBorders>
            <w:vAlign w:val="center"/>
          </w:tcPr>
          <w:p w14:paraId="428AB8B4">
            <w:pPr>
              <w:jc w:val="center"/>
              <w:textAlignment w:val="center"/>
              <w:rPr>
                <w:rFonts w:ascii="Times New Roman" w:hAnsi="Times New Roman" w:eastAsia="宋体" w:cs="Times New Roman"/>
                <w:b/>
                <w:bCs/>
                <w:color w:val="FF0000"/>
                <w:kern w:val="0"/>
                <w:sz w:val="15"/>
                <w:szCs w:val="15"/>
                <w:u w:val="none"/>
                <w:vertAlign w:val="baseline"/>
                <w:lang w:bidi="ar"/>
              </w:rPr>
            </w:pPr>
          </w:p>
        </w:tc>
        <w:tc>
          <w:tcPr>
            <w:tcW w:w="1251" w:type="dxa"/>
            <w:tcBorders>
              <w:top w:val="nil"/>
              <w:left w:val="nil"/>
              <w:bottom w:val="nil"/>
              <w:right w:val="nil"/>
            </w:tcBorders>
            <w:vAlign w:val="center"/>
          </w:tcPr>
          <w:p w14:paraId="6070E542">
            <w:pPr>
              <w:jc w:val="center"/>
              <w:textAlignment w:val="center"/>
              <w:rPr>
                <w:rFonts w:ascii="Times New Roman" w:hAnsi="Times New Roman" w:eastAsia="宋体" w:cs="Times New Roman"/>
                <w:b/>
                <w:bCs/>
                <w:color w:val="FF0000"/>
                <w:kern w:val="0"/>
                <w:sz w:val="15"/>
                <w:szCs w:val="15"/>
                <w:u w:val="none"/>
                <w:vertAlign w:val="baseline"/>
                <w:lang w:bidi="ar"/>
              </w:rPr>
            </w:pPr>
          </w:p>
        </w:tc>
        <w:tc>
          <w:tcPr>
            <w:tcW w:w="1252" w:type="dxa"/>
            <w:tcBorders>
              <w:top w:val="nil"/>
              <w:left w:val="nil"/>
              <w:bottom w:val="nil"/>
              <w:right w:val="nil"/>
            </w:tcBorders>
            <w:vAlign w:val="center"/>
          </w:tcPr>
          <w:p w14:paraId="576EF106">
            <w:pPr>
              <w:jc w:val="center"/>
              <w:textAlignment w:val="center"/>
              <w:rPr>
                <w:rFonts w:ascii="Times New Roman" w:hAnsi="Times New Roman" w:eastAsia="宋体" w:cs="Times New Roman"/>
                <w:b/>
                <w:bCs/>
                <w:color w:val="FF0000"/>
                <w:kern w:val="0"/>
                <w:sz w:val="15"/>
                <w:szCs w:val="15"/>
                <w:u w:val="none"/>
                <w:vertAlign w:val="baseline"/>
                <w:lang w:bidi="ar"/>
              </w:rPr>
            </w:pPr>
          </w:p>
        </w:tc>
      </w:tr>
      <w:tr w14:paraId="44977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251" w:type="dxa"/>
            <w:vAlign w:val="center"/>
          </w:tcPr>
          <w:p w14:paraId="50D58AE1">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-0.76 (-2.52,1.00)</w:t>
            </w:r>
          </w:p>
        </w:tc>
        <w:tc>
          <w:tcPr>
            <w:tcW w:w="1251" w:type="dxa"/>
            <w:vAlign w:val="center"/>
          </w:tcPr>
          <w:p w14:paraId="100283CC">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-0.29 (-2.35,1.77)</w:t>
            </w:r>
          </w:p>
        </w:tc>
        <w:tc>
          <w:tcPr>
            <w:tcW w:w="1251" w:type="dxa"/>
            <w:vAlign w:val="center"/>
          </w:tcPr>
          <w:p w14:paraId="6AE85FDB">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IPG group</w:t>
            </w:r>
          </w:p>
        </w:tc>
        <w:tc>
          <w:tcPr>
            <w:tcW w:w="1251" w:type="dxa"/>
            <w:tcBorders>
              <w:top w:val="single" w:color="auto" w:sz="4" w:space="0"/>
              <w:bottom w:val="single" w:color="auto" w:sz="4" w:space="0"/>
              <w:right w:val="single" w:color="auto" w:sz="4" w:space="0"/>
            </w:tcBorders>
            <w:vAlign w:val="center"/>
          </w:tcPr>
          <w:p w14:paraId="5BA2146B">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SUCRA=50%</w:t>
            </w:r>
          </w:p>
        </w:tc>
        <w:tc>
          <w:tcPr>
            <w:tcW w:w="1251" w:type="dxa"/>
            <w:tcBorders>
              <w:top w:val="nil"/>
              <w:left w:val="single" w:color="auto" w:sz="4" w:space="0"/>
              <w:bottom w:val="single" w:color="auto" w:sz="4" w:space="0"/>
              <w:right w:val="nil"/>
            </w:tcBorders>
            <w:vAlign w:val="center"/>
          </w:tcPr>
          <w:p w14:paraId="173095EB">
            <w:pPr>
              <w:jc w:val="center"/>
              <w:textAlignment w:val="center"/>
              <w:rPr>
                <w:rFonts w:ascii="Times New Roman" w:hAnsi="Times New Roman" w:eastAsia="宋体" w:cs="Times New Roman"/>
                <w:b/>
                <w:bCs/>
                <w:color w:val="FF0000"/>
                <w:kern w:val="0"/>
                <w:sz w:val="15"/>
                <w:szCs w:val="15"/>
                <w:u w:val="none"/>
                <w:vertAlign w:val="baseline"/>
                <w:lang w:bidi="ar"/>
              </w:rPr>
            </w:pPr>
          </w:p>
        </w:tc>
        <w:tc>
          <w:tcPr>
            <w:tcW w:w="1251" w:type="dxa"/>
            <w:tcBorders>
              <w:top w:val="nil"/>
              <w:left w:val="nil"/>
              <w:bottom w:val="nil"/>
              <w:right w:val="nil"/>
            </w:tcBorders>
            <w:vAlign w:val="center"/>
          </w:tcPr>
          <w:p w14:paraId="00A22451">
            <w:pPr>
              <w:jc w:val="center"/>
              <w:textAlignment w:val="center"/>
              <w:rPr>
                <w:rFonts w:ascii="Times New Roman" w:hAnsi="Times New Roman" w:eastAsia="宋体" w:cs="Times New Roman"/>
                <w:b/>
                <w:bCs/>
                <w:color w:val="FF0000"/>
                <w:kern w:val="0"/>
                <w:sz w:val="15"/>
                <w:szCs w:val="15"/>
                <w:u w:val="none"/>
                <w:vertAlign w:val="baseline"/>
                <w:lang w:bidi="ar"/>
              </w:rPr>
            </w:pPr>
          </w:p>
        </w:tc>
        <w:tc>
          <w:tcPr>
            <w:tcW w:w="1252" w:type="dxa"/>
            <w:tcBorders>
              <w:top w:val="nil"/>
              <w:left w:val="nil"/>
              <w:bottom w:val="nil"/>
              <w:right w:val="nil"/>
            </w:tcBorders>
            <w:vAlign w:val="center"/>
          </w:tcPr>
          <w:p w14:paraId="3CEC18D2">
            <w:pPr>
              <w:jc w:val="center"/>
              <w:textAlignment w:val="center"/>
              <w:rPr>
                <w:rFonts w:ascii="Times New Roman" w:hAnsi="Times New Roman" w:eastAsia="宋体" w:cs="Times New Roman"/>
                <w:b/>
                <w:bCs/>
                <w:color w:val="FF0000"/>
                <w:kern w:val="0"/>
                <w:sz w:val="15"/>
                <w:szCs w:val="15"/>
                <w:u w:val="none"/>
                <w:vertAlign w:val="baseline"/>
                <w:lang w:bidi="ar"/>
              </w:rPr>
            </w:pPr>
          </w:p>
        </w:tc>
      </w:tr>
      <w:tr w14:paraId="2CCCB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251" w:type="dxa"/>
            <w:vAlign w:val="center"/>
          </w:tcPr>
          <w:p w14:paraId="6B23CF1B">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-0.99 (-1.99,0.01)</w:t>
            </w:r>
          </w:p>
        </w:tc>
        <w:tc>
          <w:tcPr>
            <w:tcW w:w="1251" w:type="dxa"/>
            <w:vAlign w:val="center"/>
          </w:tcPr>
          <w:p w14:paraId="68C8B6A8">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-0.52 (-1.87,0.83)</w:t>
            </w:r>
          </w:p>
        </w:tc>
        <w:tc>
          <w:tcPr>
            <w:tcW w:w="1251" w:type="dxa"/>
            <w:vAlign w:val="center"/>
          </w:tcPr>
          <w:p w14:paraId="7D325EF4">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-0.23 (-2.13,1.67)</w:t>
            </w:r>
          </w:p>
        </w:tc>
        <w:tc>
          <w:tcPr>
            <w:tcW w:w="1251" w:type="dxa"/>
            <w:tcBorders>
              <w:top w:val="single" w:color="auto" w:sz="4" w:space="0"/>
            </w:tcBorders>
            <w:vAlign w:val="center"/>
          </w:tcPr>
          <w:p w14:paraId="528E6644">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IDI group</w:t>
            </w:r>
          </w:p>
        </w:tc>
        <w:tc>
          <w:tcPr>
            <w:tcW w:w="1251" w:type="dxa"/>
            <w:tcBorders>
              <w:top w:val="single" w:color="auto" w:sz="4" w:space="0"/>
              <w:right w:val="single" w:color="auto" w:sz="4" w:space="0"/>
            </w:tcBorders>
            <w:vAlign w:val="center"/>
          </w:tcPr>
          <w:p w14:paraId="63EA5323">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SUCRA=46%</w:t>
            </w:r>
          </w:p>
        </w:tc>
        <w:tc>
          <w:tcPr>
            <w:tcW w:w="1251" w:type="dxa"/>
            <w:tcBorders>
              <w:top w:val="nil"/>
              <w:left w:val="single" w:color="auto" w:sz="4" w:space="0"/>
              <w:bottom w:val="single" w:color="auto" w:sz="4" w:space="0"/>
              <w:right w:val="nil"/>
            </w:tcBorders>
            <w:vAlign w:val="center"/>
          </w:tcPr>
          <w:p w14:paraId="2234DEEA">
            <w:pPr>
              <w:jc w:val="center"/>
              <w:textAlignment w:val="center"/>
              <w:rPr>
                <w:rFonts w:ascii="Times New Roman" w:hAnsi="Times New Roman" w:eastAsia="宋体" w:cs="Times New Roman"/>
                <w:b w:val="0"/>
                <w:bCs w:val="0"/>
                <w:color w:val="FF0000"/>
                <w:kern w:val="0"/>
                <w:sz w:val="15"/>
                <w:szCs w:val="15"/>
                <w:u w:val="none"/>
                <w:vertAlign w:val="baseline"/>
                <w:lang w:bidi="ar"/>
              </w:rPr>
            </w:pPr>
          </w:p>
        </w:tc>
        <w:tc>
          <w:tcPr>
            <w:tcW w:w="1252" w:type="dxa"/>
            <w:tcBorders>
              <w:top w:val="nil"/>
              <w:left w:val="nil"/>
              <w:bottom w:val="nil"/>
              <w:right w:val="nil"/>
            </w:tcBorders>
            <w:vAlign w:val="center"/>
          </w:tcPr>
          <w:p w14:paraId="3847655E">
            <w:pPr>
              <w:jc w:val="center"/>
              <w:textAlignment w:val="center"/>
              <w:rPr>
                <w:rFonts w:ascii="Times New Roman" w:hAnsi="Times New Roman" w:eastAsia="宋体" w:cs="Times New Roman"/>
                <w:b w:val="0"/>
                <w:bCs w:val="0"/>
                <w:color w:val="FF0000"/>
                <w:kern w:val="0"/>
                <w:sz w:val="15"/>
                <w:szCs w:val="15"/>
                <w:u w:val="none"/>
                <w:vertAlign w:val="baseline"/>
                <w:lang w:bidi="ar"/>
              </w:rPr>
            </w:pPr>
          </w:p>
        </w:tc>
      </w:tr>
      <w:tr w14:paraId="08743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251" w:type="dxa"/>
            <w:vAlign w:val="center"/>
          </w:tcPr>
          <w:p w14:paraId="13DB3286">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highlight w:val="none"/>
                <w:u w:val="none"/>
                <w:vertAlign w:val="baseline"/>
                <w:lang w:bidi="ar"/>
              </w:rPr>
            </w:pPr>
            <w:r>
              <w:rPr>
                <w:rFonts w:hint="default" w:ascii="Times New Roman" w:hAnsi="Times New Roman" w:eastAsia="宋体" w:cs="Times New Roman"/>
                <w:b/>
                <w:bCs/>
                <w:i w:val="0"/>
                <w:iCs w:val="0"/>
                <w:color w:val="FF0000"/>
                <w:kern w:val="0"/>
                <w:sz w:val="15"/>
                <w:szCs w:val="15"/>
                <w:highlight w:val="none"/>
                <w:u w:val="none"/>
                <w:lang w:val="en-US" w:eastAsia="zh-CN" w:bidi="ar"/>
              </w:rPr>
              <w:t>-1.07 (-2.09,-0.05</w:t>
            </w:r>
            <w:r>
              <w:rPr>
                <w:rFonts w:hint="default" w:ascii="Times New Roman" w:hAnsi="Times New Roman" w:eastAsia="宋体" w:cs="Times New Roman"/>
                <w:b w:val="0"/>
                <w:bCs w:val="0"/>
                <w:i w:val="0"/>
                <w:iCs w:val="0"/>
                <w:color w:val="FF0000"/>
                <w:kern w:val="0"/>
                <w:sz w:val="15"/>
                <w:szCs w:val="15"/>
                <w:highlight w:val="none"/>
                <w:u w:val="none"/>
                <w:lang w:val="en-US" w:eastAsia="zh-CN" w:bidi="ar"/>
              </w:rPr>
              <w:t>)</w:t>
            </w:r>
          </w:p>
        </w:tc>
        <w:tc>
          <w:tcPr>
            <w:tcW w:w="1251" w:type="dxa"/>
            <w:vAlign w:val="center"/>
          </w:tcPr>
          <w:p w14:paraId="0EFD2957">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-0.60 (-1.88,0.67)</w:t>
            </w:r>
          </w:p>
        </w:tc>
        <w:tc>
          <w:tcPr>
            <w:tcW w:w="1251" w:type="dxa"/>
            <w:vAlign w:val="center"/>
          </w:tcPr>
          <w:p w14:paraId="56615627">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-0.31 (-2.21,1.59)</w:t>
            </w:r>
          </w:p>
        </w:tc>
        <w:tc>
          <w:tcPr>
            <w:tcW w:w="1251" w:type="dxa"/>
            <w:vAlign w:val="center"/>
          </w:tcPr>
          <w:p w14:paraId="0ABD5617">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-0.08 (-1.06,0.90)</w:t>
            </w:r>
          </w:p>
        </w:tc>
        <w:tc>
          <w:tcPr>
            <w:tcW w:w="1251" w:type="dxa"/>
            <w:vAlign w:val="center"/>
          </w:tcPr>
          <w:p w14:paraId="7F035595">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PDI grpup</w:t>
            </w:r>
          </w:p>
        </w:tc>
        <w:tc>
          <w:tcPr>
            <w:tcW w:w="1251" w:type="dxa"/>
            <w:tcBorders>
              <w:top w:val="single" w:color="auto" w:sz="4" w:space="0"/>
              <w:right w:val="single" w:color="auto" w:sz="4" w:space="0"/>
            </w:tcBorders>
            <w:vAlign w:val="center"/>
          </w:tcPr>
          <w:p w14:paraId="0BE1956C">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SUCRA=30%</w:t>
            </w:r>
          </w:p>
        </w:tc>
        <w:tc>
          <w:tcPr>
            <w:tcW w:w="1252" w:type="dxa"/>
            <w:tcBorders>
              <w:top w:val="nil"/>
              <w:left w:val="single" w:color="auto" w:sz="4" w:space="0"/>
              <w:bottom w:val="single" w:color="auto" w:sz="4" w:space="0"/>
              <w:right w:val="nil"/>
            </w:tcBorders>
            <w:vAlign w:val="center"/>
          </w:tcPr>
          <w:p w14:paraId="2FD7B5A0">
            <w:pPr>
              <w:jc w:val="center"/>
              <w:textAlignment w:val="center"/>
              <w:rPr>
                <w:rFonts w:ascii="Times New Roman" w:hAnsi="Times New Roman" w:eastAsia="宋体" w:cs="Times New Roman"/>
                <w:b/>
                <w:bCs/>
                <w:color w:val="FF0000"/>
                <w:kern w:val="0"/>
                <w:sz w:val="15"/>
                <w:szCs w:val="15"/>
                <w:u w:val="none"/>
                <w:vertAlign w:val="baseline"/>
                <w:lang w:bidi="ar"/>
              </w:rPr>
            </w:pPr>
          </w:p>
        </w:tc>
      </w:tr>
      <w:tr w14:paraId="75DC4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251" w:type="dxa"/>
            <w:vAlign w:val="center"/>
          </w:tcPr>
          <w:p w14:paraId="52A9AD73">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highlight w:val="none"/>
                <w:u w:val="none"/>
                <w:vertAlign w:val="baseline"/>
                <w:lang w:bidi="ar"/>
              </w:rPr>
            </w:pPr>
            <w:r>
              <w:rPr>
                <w:rFonts w:hint="default" w:ascii="Times New Roman" w:hAnsi="Times New Roman" w:eastAsia="宋体" w:cs="Times New Roman"/>
                <w:b/>
                <w:bCs/>
                <w:i w:val="0"/>
                <w:iCs w:val="0"/>
                <w:color w:val="FF0000"/>
                <w:kern w:val="0"/>
                <w:sz w:val="15"/>
                <w:szCs w:val="15"/>
                <w:highlight w:val="none"/>
                <w:u w:val="none"/>
                <w:lang w:val="en-US" w:eastAsia="zh-CN" w:bidi="ar"/>
              </w:rPr>
              <w:t>-1.35 (-1.98,-0.72)</w:t>
            </w:r>
          </w:p>
        </w:tc>
        <w:tc>
          <w:tcPr>
            <w:tcW w:w="1251" w:type="dxa"/>
            <w:vAlign w:val="center"/>
          </w:tcPr>
          <w:p w14:paraId="75851881">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-0.89 (-2.00,0.23)</w:t>
            </w:r>
          </w:p>
        </w:tc>
        <w:tc>
          <w:tcPr>
            <w:tcW w:w="1251" w:type="dxa"/>
            <w:vAlign w:val="center"/>
          </w:tcPr>
          <w:p w14:paraId="56998FD1">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-0.59 (-2.40,1.21)</w:t>
            </w:r>
          </w:p>
        </w:tc>
        <w:tc>
          <w:tcPr>
            <w:tcW w:w="1251" w:type="dxa"/>
            <w:vAlign w:val="center"/>
          </w:tcPr>
          <w:p w14:paraId="74781B51">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-0.36 (-1.25,0.52)</w:t>
            </w:r>
          </w:p>
        </w:tc>
        <w:tc>
          <w:tcPr>
            <w:tcW w:w="1251" w:type="dxa"/>
            <w:vAlign w:val="center"/>
          </w:tcPr>
          <w:p w14:paraId="64F87F51">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-0.28 (-1.14,0.58)</w:t>
            </w:r>
          </w:p>
        </w:tc>
        <w:tc>
          <w:tcPr>
            <w:tcW w:w="1251" w:type="dxa"/>
            <w:vAlign w:val="center"/>
          </w:tcPr>
          <w:p w14:paraId="4DB82630">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PPIA group</w:t>
            </w:r>
          </w:p>
        </w:tc>
        <w:tc>
          <w:tcPr>
            <w:tcW w:w="1252" w:type="dxa"/>
            <w:tcBorders>
              <w:top w:val="single" w:color="auto" w:sz="4" w:space="0"/>
            </w:tcBorders>
            <w:vAlign w:val="center"/>
          </w:tcPr>
          <w:p w14:paraId="223662B7">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SUCRA=1%</w:t>
            </w:r>
          </w:p>
        </w:tc>
      </w:tr>
      <w:tr w14:paraId="7C958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251" w:type="dxa"/>
            <w:vAlign w:val="center"/>
          </w:tcPr>
          <w:p w14:paraId="055F9FE2">
            <w:pPr>
              <w:keepNext w:val="0"/>
              <w:keepLines w:val="0"/>
              <w:widowControl/>
              <w:suppressLineNumbers w:val="0"/>
              <w:jc w:val="center"/>
              <w:textAlignment w:val="center"/>
              <w:rPr>
                <w:rFonts w:ascii="Times New Roman" w:hAnsi="Times New Roman" w:eastAsia="宋体" w:cs="Times New Roman"/>
                <w:b/>
                <w:bCs/>
                <w:color w:val="FF0000"/>
                <w:kern w:val="0"/>
                <w:sz w:val="15"/>
                <w:szCs w:val="15"/>
                <w:highlight w:val="none"/>
                <w:u w:val="none"/>
                <w:vertAlign w:val="baseline"/>
                <w:lang w:bidi="ar"/>
              </w:rPr>
            </w:pPr>
            <w:r>
              <w:rPr>
                <w:rFonts w:hint="default" w:ascii="Times New Roman" w:hAnsi="Times New Roman" w:eastAsia="宋体" w:cs="Times New Roman"/>
                <w:b/>
                <w:bCs/>
                <w:i w:val="0"/>
                <w:iCs w:val="0"/>
                <w:color w:val="FF0000"/>
                <w:kern w:val="0"/>
                <w:sz w:val="15"/>
                <w:szCs w:val="15"/>
                <w:highlight w:val="none"/>
                <w:u w:val="none"/>
                <w:lang w:val="en-US" w:eastAsia="zh-CN" w:bidi="ar"/>
              </w:rPr>
              <w:t>-2.21 (-3.03,-1.39)</w:t>
            </w:r>
          </w:p>
        </w:tc>
        <w:tc>
          <w:tcPr>
            <w:tcW w:w="1251" w:type="dxa"/>
            <w:vAlign w:val="center"/>
          </w:tcPr>
          <w:p w14:paraId="06521914">
            <w:pPr>
              <w:keepNext w:val="0"/>
              <w:keepLines w:val="0"/>
              <w:widowControl/>
              <w:suppressLineNumbers w:val="0"/>
              <w:jc w:val="center"/>
              <w:textAlignment w:val="center"/>
              <w:rPr>
                <w:rFonts w:ascii="Times New Roman" w:hAnsi="Times New Roman" w:eastAsia="宋体" w:cs="Times New Roman"/>
                <w:b/>
                <w:bCs/>
                <w:color w:val="FF0000"/>
                <w:kern w:val="0"/>
                <w:sz w:val="15"/>
                <w:szCs w:val="15"/>
                <w:highlight w:val="none"/>
                <w:u w:val="none"/>
                <w:vertAlign w:val="baseline"/>
                <w:lang w:bidi="ar"/>
              </w:rPr>
            </w:pPr>
            <w:r>
              <w:rPr>
                <w:rFonts w:hint="default" w:ascii="Times New Roman" w:hAnsi="Times New Roman" w:eastAsia="宋体" w:cs="Times New Roman"/>
                <w:b/>
                <w:bCs/>
                <w:i w:val="0"/>
                <w:iCs w:val="0"/>
                <w:color w:val="FF0000"/>
                <w:kern w:val="0"/>
                <w:sz w:val="15"/>
                <w:szCs w:val="15"/>
                <w:highlight w:val="none"/>
                <w:u w:val="none"/>
                <w:lang w:val="en-US" w:eastAsia="zh-CN" w:bidi="ar"/>
              </w:rPr>
              <w:t>-1.74 (-2.96,-0.53)</w:t>
            </w:r>
          </w:p>
        </w:tc>
        <w:tc>
          <w:tcPr>
            <w:tcW w:w="1251" w:type="dxa"/>
            <w:vAlign w:val="center"/>
          </w:tcPr>
          <w:p w14:paraId="379CB4A5">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highlight w:val="none"/>
                <w:u w:val="none"/>
                <w:vertAlign w:val="baseline"/>
                <w:lang w:bidi="ar"/>
              </w:rPr>
            </w:pPr>
            <w:r>
              <w:rPr>
                <w:rFonts w:hint="default" w:ascii="Times New Roman" w:hAnsi="Times New Roman" w:eastAsia="宋体" w:cs="Times New Roman"/>
                <w:b w:val="0"/>
                <w:bCs w:val="0"/>
                <w:i w:val="0"/>
                <w:iCs w:val="0"/>
                <w:color w:val="FF0000"/>
                <w:kern w:val="0"/>
                <w:sz w:val="15"/>
                <w:szCs w:val="15"/>
                <w:highlight w:val="none"/>
                <w:u w:val="none"/>
                <w:lang w:val="en-US" w:eastAsia="zh-CN" w:bidi="ar"/>
              </w:rPr>
              <w:t>-1.45 (-3.23,0.33)</w:t>
            </w:r>
          </w:p>
        </w:tc>
        <w:tc>
          <w:tcPr>
            <w:tcW w:w="1251" w:type="dxa"/>
            <w:vAlign w:val="center"/>
          </w:tcPr>
          <w:p w14:paraId="0AC1B38C">
            <w:pPr>
              <w:keepNext w:val="0"/>
              <w:keepLines w:val="0"/>
              <w:widowControl/>
              <w:suppressLineNumbers w:val="0"/>
              <w:jc w:val="center"/>
              <w:textAlignment w:val="center"/>
              <w:rPr>
                <w:rFonts w:ascii="Times New Roman" w:hAnsi="Times New Roman" w:eastAsia="宋体" w:cs="Times New Roman"/>
                <w:b/>
                <w:bCs/>
                <w:color w:val="FF0000"/>
                <w:kern w:val="0"/>
                <w:sz w:val="15"/>
                <w:szCs w:val="15"/>
                <w:highlight w:val="none"/>
                <w:u w:val="none"/>
                <w:vertAlign w:val="baseline"/>
                <w:lang w:bidi="ar"/>
              </w:rPr>
            </w:pPr>
            <w:r>
              <w:rPr>
                <w:rFonts w:hint="default" w:ascii="Times New Roman" w:hAnsi="Times New Roman" w:eastAsia="宋体" w:cs="Times New Roman"/>
                <w:b/>
                <w:bCs/>
                <w:i w:val="0"/>
                <w:iCs w:val="0"/>
                <w:color w:val="FF0000"/>
                <w:kern w:val="0"/>
                <w:sz w:val="15"/>
                <w:szCs w:val="15"/>
                <w:highlight w:val="none"/>
                <w:u w:val="none"/>
                <w:lang w:val="en-US" w:eastAsia="zh-CN" w:bidi="ar"/>
              </w:rPr>
              <w:t>-1.22 (-2.02,-0.42)</w:t>
            </w:r>
          </w:p>
        </w:tc>
        <w:tc>
          <w:tcPr>
            <w:tcW w:w="1251" w:type="dxa"/>
            <w:vAlign w:val="center"/>
          </w:tcPr>
          <w:p w14:paraId="5637B1F0">
            <w:pPr>
              <w:keepNext w:val="0"/>
              <w:keepLines w:val="0"/>
              <w:widowControl/>
              <w:suppressLineNumbers w:val="0"/>
              <w:jc w:val="center"/>
              <w:textAlignment w:val="center"/>
              <w:rPr>
                <w:rFonts w:ascii="Times New Roman" w:hAnsi="Times New Roman" w:eastAsia="宋体" w:cs="Times New Roman"/>
                <w:b/>
                <w:bCs/>
                <w:color w:val="FF0000"/>
                <w:kern w:val="0"/>
                <w:sz w:val="15"/>
                <w:szCs w:val="15"/>
                <w:highlight w:val="none"/>
                <w:u w:val="none"/>
                <w:vertAlign w:val="baseline"/>
                <w:lang w:bidi="ar"/>
              </w:rPr>
            </w:pPr>
            <w:r>
              <w:rPr>
                <w:rFonts w:hint="default" w:ascii="Times New Roman" w:hAnsi="Times New Roman" w:eastAsia="宋体" w:cs="Times New Roman"/>
                <w:b/>
                <w:bCs/>
                <w:i w:val="0"/>
                <w:iCs w:val="0"/>
                <w:color w:val="FF0000"/>
                <w:kern w:val="0"/>
                <w:sz w:val="15"/>
                <w:szCs w:val="15"/>
                <w:highlight w:val="none"/>
                <w:u w:val="none"/>
                <w:lang w:val="en-US" w:eastAsia="zh-CN" w:bidi="ar"/>
              </w:rPr>
              <w:t>-1.14 (-1.84,-0.43)</w:t>
            </w:r>
          </w:p>
        </w:tc>
        <w:tc>
          <w:tcPr>
            <w:tcW w:w="1251" w:type="dxa"/>
            <w:vAlign w:val="center"/>
          </w:tcPr>
          <w:p w14:paraId="79F81AD2">
            <w:pPr>
              <w:keepNext w:val="0"/>
              <w:keepLines w:val="0"/>
              <w:widowControl/>
              <w:suppressLineNumbers w:val="0"/>
              <w:jc w:val="center"/>
              <w:textAlignment w:val="center"/>
              <w:rPr>
                <w:rFonts w:ascii="Times New Roman" w:hAnsi="Times New Roman" w:eastAsia="宋体" w:cs="Times New Roman"/>
                <w:b/>
                <w:bCs/>
                <w:color w:val="FF0000"/>
                <w:kern w:val="0"/>
                <w:sz w:val="15"/>
                <w:szCs w:val="15"/>
                <w:highlight w:val="none"/>
                <w:u w:val="none"/>
                <w:vertAlign w:val="baseline"/>
                <w:lang w:bidi="ar"/>
              </w:rPr>
            </w:pPr>
            <w:r>
              <w:rPr>
                <w:rFonts w:hint="default" w:ascii="Times New Roman" w:hAnsi="Times New Roman" w:eastAsia="宋体" w:cs="Times New Roman"/>
                <w:b/>
                <w:bCs/>
                <w:i w:val="0"/>
                <w:iCs w:val="0"/>
                <w:color w:val="FF0000"/>
                <w:kern w:val="0"/>
                <w:sz w:val="15"/>
                <w:szCs w:val="15"/>
                <w:highlight w:val="none"/>
                <w:u w:val="none"/>
                <w:lang w:val="en-US" w:eastAsia="zh-CN" w:bidi="ar"/>
              </w:rPr>
              <w:t>-0.86 (-1.48,-0.23)</w:t>
            </w:r>
          </w:p>
        </w:tc>
        <w:tc>
          <w:tcPr>
            <w:tcW w:w="1252" w:type="dxa"/>
            <w:vAlign w:val="center"/>
          </w:tcPr>
          <w:p w14:paraId="4ECB5C04">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Usual care group</w:t>
            </w:r>
          </w:p>
        </w:tc>
      </w:tr>
    </w:tbl>
    <w:p w14:paraId="45B44C0E"/>
    <w:p w14:paraId="799C63F6"/>
    <w:p w14:paraId="3CCB0770">
      <w:pPr>
        <w:rPr>
          <w:rFonts w:hint="eastAsia"/>
        </w:rPr>
      </w:pPr>
      <w:r>
        <w:drawing>
          <wp:inline distT="0" distB="0" distL="114300" distR="114300">
            <wp:extent cx="5028565" cy="3350260"/>
            <wp:effectExtent l="0" t="0" r="635" b="2540"/>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4"/>
                    <a:stretch>
                      <a:fillRect/>
                    </a:stretch>
                  </pic:blipFill>
                  <pic:spPr>
                    <a:xfrm>
                      <a:off x="0" y="0"/>
                      <a:ext cx="5028565" cy="3350260"/>
                    </a:xfrm>
                    <a:prstGeom prst="rect">
                      <a:avLst/>
                    </a:prstGeom>
                    <a:noFill/>
                    <a:ln>
                      <a:noFill/>
                    </a:ln>
                  </pic:spPr>
                </pic:pic>
              </a:graphicData>
            </a:graphic>
          </wp:inline>
        </w:drawing>
      </w:r>
    </w:p>
    <w:p w14:paraId="2A6CE2D2">
      <w:pPr>
        <w:rPr>
          <w:rFonts w:ascii="Arial" w:hAnsi="Arial" w:cs="Arial"/>
          <w:sz w:val="24"/>
          <w:szCs w:val="24"/>
        </w:rPr>
      </w:pPr>
      <w:r>
        <w:rPr>
          <w:rFonts w:ascii="Arial" w:hAnsi="Arial" w:cs="Arial"/>
          <w:sz w:val="24"/>
          <w:szCs w:val="24"/>
        </w:rPr>
        <w:t>Fig. 1. Funnel Plot of Effect Size related to Publication Bias.</w:t>
      </w:r>
    </w:p>
    <w:p w14:paraId="494BEB44">
      <w:pPr>
        <w:rPr>
          <w:rFonts w:ascii="Arial" w:hAnsi="Arial" w:cs="Arial"/>
          <w:sz w:val="24"/>
          <w:szCs w:val="24"/>
        </w:rPr>
      </w:pPr>
    </w:p>
    <w:p w14:paraId="2ABC270D">
      <w:pPr>
        <w:rPr>
          <w:rFonts w:ascii="Arial" w:hAnsi="Arial" w:cs="Arial"/>
          <w:sz w:val="24"/>
          <w:szCs w:val="24"/>
        </w:rPr>
      </w:pPr>
    </w:p>
    <w:p w14:paraId="2A7C2914">
      <w:pPr>
        <w:rPr>
          <w:rFonts w:ascii="Arial" w:hAnsi="Arial" w:cs="Arial"/>
          <w:sz w:val="24"/>
          <w:szCs w:val="24"/>
        </w:rPr>
      </w:pPr>
    </w:p>
    <w:p w14:paraId="1E450947">
      <w:pPr>
        <w:rPr>
          <w:rFonts w:ascii="Arial" w:hAnsi="Arial" w:cs="Arial"/>
          <w:sz w:val="24"/>
          <w:szCs w:val="24"/>
        </w:rPr>
      </w:pPr>
    </w:p>
    <w:p w14:paraId="1D77E532">
      <w:pPr>
        <w:rPr>
          <w:rFonts w:ascii="Arial" w:hAnsi="Arial" w:cs="Arial"/>
          <w:sz w:val="24"/>
          <w:szCs w:val="24"/>
        </w:rPr>
      </w:pPr>
    </w:p>
    <w:p w14:paraId="0F61CDF9">
      <w:pPr>
        <w:rPr>
          <w:rFonts w:ascii="Arial" w:hAnsi="Arial" w:cs="Arial"/>
          <w:sz w:val="24"/>
          <w:szCs w:val="24"/>
        </w:rPr>
      </w:pPr>
    </w:p>
    <w:p w14:paraId="6EBB9D9D">
      <w:pPr>
        <w:rPr>
          <w:rFonts w:ascii="Arial" w:hAnsi="Arial" w:cs="Arial"/>
          <w:color w:val="FF0000"/>
          <w:sz w:val="24"/>
          <w:szCs w:val="24"/>
        </w:rPr>
      </w:pPr>
      <w:r>
        <w:rPr>
          <w:rFonts w:ascii="Arial" w:hAnsi="Arial" w:cs="Arial"/>
          <w:color w:val="FF0000"/>
          <w:sz w:val="24"/>
          <w:szCs w:val="24"/>
        </w:rPr>
        <w:t>Table</w:t>
      </w:r>
      <w:r>
        <w:rPr>
          <w:rFonts w:hint="eastAsia" w:ascii="Arial" w:hAnsi="Arial" w:cs="Arial"/>
          <w:color w:val="FF0000"/>
          <w:sz w:val="24"/>
          <w:szCs w:val="24"/>
          <w:lang w:val="en-US" w:eastAsia="zh-CN"/>
        </w:rPr>
        <w:t>2</w:t>
      </w:r>
      <w:r>
        <w:rPr>
          <w:rFonts w:ascii="Arial" w:hAnsi="Arial" w:cs="Arial"/>
          <w:color w:val="FF0000"/>
          <w:sz w:val="24"/>
          <w:szCs w:val="24"/>
        </w:rPr>
        <w:t xml:space="preserve"> Network league table of NMA for anxiety, excluding studies with &lt;30 participants in control/experimental groups.</w:t>
      </w:r>
    </w:p>
    <w:p w14:paraId="4FF9D959">
      <w:pPr>
        <w:rPr>
          <w:rFonts w:hint="eastAsia" w:ascii="Arial" w:hAnsi="Arial" w:cs="Arial"/>
          <w:color w:val="FF0000"/>
          <w:sz w:val="24"/>
          <w:szCs w:val="24"/>
        </w:rPr>
      </w:pPr>
    </w:p>
    <w:tbl>
      <w:tblPr>
        <w:tblStyle w:val="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9"/>
        <w:gridCol w:w="1419"/>
        <w:gridCol w:w="1419"/>
        <w:gridCol w:w="1419"/>
        <w:gridCol w:w="1419"/>
        <w:gridCol w:w="1422"/>
      </w:tblGrid>
      <w:tr w14:paraId="6D26A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833" w:type="pct"/>
            <w:tcBorders>
              <w:right w:val="single" w:color="auto" w:sz="4" w:space="0"/>
            </w:tcBorders>
            <w:vAlign w:val="center"/>
          </w:tcPr>
          <w:p w14:paraId="2A05A669">
            <w:pPr>
              <w:keepNext w:val="0"/>
              <w:keepLines w:val="0"/>
              <w:widowControl/>
              <w:suppressLineNumbers w:val="0"/>
              <w:jc w:val="center"/>
              <w:textAlignment w:val="center"/>
              <w:rPr>
                <w:rFonts w:ascii="Times New Roman" w:hAnsi="Times New Roman" w:cs="Times New Roman"/>
                <w:b/>
                <w:bCs/>
                <w:color w:val="FF0000"/>
                <w:sz w:val="15"/>
                <w:szCs w:val="15"/>
                <w:vertAlign w:val="baseline"/>
              </w:rPr>
            </w:pPr>
            <w:r>
              <w:rPr>
                <w:rFonts w:hint="default" w:ascii="Times New Roman" w:hAnsi="Times New Roman" w:eastAsia="宋体" w:cs="Times New Roman"/>
                <w:b/>
                <w:bCs/>
                <w:i w:val="0"/>
                <w:iCs w:val="0"/>
                <w:color w:val="FF0000"/>
                <w:kern w:val="0"/>
                <w:sz w:val="15"/>
                <w:szCs w:val="15"/>
                <w:u w:val="none"/>
                <w:lang w:val="en-US" w:eastAsia="zh-CN" w:bidi="ar"/>
              </w:rPr>
              <w:t>SUCRA=91%</w:t>
            </w:r>
          </w:p>
        </w:tc>
        <w:tc>
          <w:tcPr>
            <w:tcW w:w="833" w:type="pct"/>
            <w:tcBorders>
              <w:top w:val="nil"/>
              <w:left w:val="single" w:color="auto" w:sz="4" w:space="0"/>
              <w:bottom w:val="single" w:color="auto" w:sz="4" w:space="0"/>
              <w:right w:val="nil"/>
            </w:tcBorders>
            <w:vAlign w:val="center"/>
          </w:tcPr>
          <w:p w14:paraId="4ACF5786">
            <w:pPr>
              <w:jc w:val="center"/>
              <w:rPr>
                <w:rFonts w:ascii="Times New Roman" w:hAnsi="Times New Roman" w:cs="Times New Roman"/>
                <w:b w:val="0"/>
                <w:bCs w:val="0"/>
                <w:color w:val="FF0000"/>
                <w:sz w:val="15"/>
                <w:szCs w:val="15"/>
                <w:vertAlign w:val="baseline"/>
              </w:rPr>
            </w:pPr>
          </w:p>
        </w:tc>
        <w:tc>
          <w:tcPr>
            <w:tcW w:w="833" w:type="pct"/>
            <w:tcBorders>
              <w:top w:val="nil"/>
              <w:left w:val="nil"/>
              <w:bottom w:val="nil"/>
              <w:right w:val="nil"/>
            </w:tcBorders>
            <w:vAlign w:val="center"/>
          </w:tcPr>
          <w:p w14:paraId="00214E98">
            <w:pPr>
              <w:jc w:val="center"/>
              <w:rPr>
                <w:rFonts w:ascii="Times New Roman" w:hAnsi="Times New Roman" w:cs="Times New Roman"/>
                <w:color w:val="FF0000"/>
                <w:sz w:val="15"/>
                <w:szCs w:val="15"/>
                <w:vertAlign w:val="baseline"/>
              </w:rPr>
            </w:pPr>
          </w:p>
        </w:tc>
        <w:tc>
          <w:tcPr>
            <w:tcW w:w="833" w:type="pct"/>
            <w:tcBorders>
              <w:top w:val="nil"/>
              <w:left w:val="nil"/>
              <w:bottom w:val="nil"/>
              <w:right w:val="nil"/>
            </w:tcBorders>
            <w:vAlign w:val="center"/>
          </w:tcPr>
          <w:p w14:paraId="238BED0D">
            <w:pPr>
              <w:jc w:val="center"/>
              <w:rPr>
                <w:rFonts w:ascii="Times New Roman" w:hAnsi="Times New Roman" w:cs="Times New Roman"/>
                <w:color w:val="FF0000"/>
                <w:sz w:val="15"/>
                <w:szCs w:val="15"/>
                <w:vertAlign w:val="baseline"/>
              </w:rPr>
            </w:pPr>
          </w:p>
        </w:tc>
        <w:tc>
          <w:tcPr>
            <w:tcW w:w="833" w:type="pct"/>
            <w:tcBorders>
              <w:top w:val="nil"/>
              <w:left w:val="nil"/>
              <w:bottom w:val="nil"/>
              <w:right w:val="nil"/>
            </w:tcBorders>
            <w:vAlign w:val="center"/>
          </w:tcPr>
          <w:p w14:paraId="79967A76">
            <w:pPr>
              <w:jc w:val="center"/>
              <w:rPr>
                <w:rFonts w:ascii="Times New Roman" w:hAnsi="Times New Roman" w:cs="Times New Roman"/>
                <w:color w:val="FF0000"/>
                <w:sz w:val="15"/>
                <w:szCs w:val="15"/>
                <w:vertAlign w:val="baseline"/>
              </w:rPr>
            </w:pPr>
          </w:p>
        </w:tc>
        <w:tc>
          <w:tcPr>
            <w:tcW w:w="834" w:type="pct"/>
            <w:tcBorders>
              <w:top w:val="nil"/>
              <w:left w:val="nil"/>
              <w:bottom w:val="nil"/>
              <w:right w:val="nil"/>
            </w:tcBorders>
            <w:vAlign w:val="center"/>
          </w:tcPr>
          <w:p w14:paraId="6CA57516">
            <w:pPr>
              <w:jc w:val="center"/>
              <w:rPr>
                <w:rFonts w:ascii="Times New Roman" w:hAnsi="Times New Roman" w:cs="Times New Roman"/>
                <w:color w:val="FF0000"/>
                <w:sz w:val="15"/>
                <w:szCs w:val="15"/>
                <w:vertAlign w:val="baseline"/>
              </w:rPr>
            </w:pPr>
          </w:p>
        </w:tc>
      </w:tr>
      <w:tr w14:paraId="0D08A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833" w:type="pct"/>
            <w:vAlign w:val="center"/>
          </w:tcPr>
          <w:p w14:paraId="2CC98668">
            <w:pPr>
              <w:keepNext w:val="0"/>
              <w:keepLines w:val="0"/>
              <w:widowControl/>
              <w:suppressLineNumbers w:val="0"/>
              <w:jc w:val="center"/>
              <w:textAlignment w:val="center"/>
              <w:rPr>
                <w:rFonts w:ascii="Times New Roman" w:hAnsi="Times New Roman" w:cs="Times New Roman"/>
                <w:b/>
                <w:bCs/>
                <w:color w:val="FF0000"/>
                <w:sz w:val="15"/>
                <w:szCs w:val="15"/>
                <w:vertAlign w:val="baseline"/>
              </w:rPr>
            </w:pPr>
            <w:r>
              <w:rPr>
                <w:rFonts w:hint="default" w:ascii="Times New Roman" w:hAnsi="Times New Roman" w:eastAsia="宋体" w:cs="Times New Roman"/>
                <w:b/>
                <w:bCs/>
                <w:i w:val="0"/>
                <w:iCs w:val="0"/>
                <w:color w:val="FF0000"/>
                <w:kern w:val="0"/>
                <w:sz w:val="15"/>
                <w:szCs w:val="15"/>
                <w:u w:val="none"/>
                <w:lang w:val="en-US" w:eastAsia="zh-CN" w:bidi="ar"/>
              </w:rPr>
              <w:t>PDI-PPIA group</w:t>
            </w:r>
          </w:p>
        </w:tc>
        <w:tc>
          <w:tcPr>
            <w:tcW w:w="833" w:type="pct"/>
            <w:tcBorders>
              <w:top w:val="single" w:color="auto" w:sz="4" w:space="0"/>
              <w:right w:val="single" w:color="auto" w:sz="4" w:space="0"/>
            </w:tcBorders>
            <w:vAlign w:val="center"/>
          </w:tcPr>
          <w:p w14:paraId="37529900">
            <w:pPr>
              <w:keepNext w:val="0"/>
              <w:keepLines w:val="0"/>
              <w:widowControl/>
              <w:suppressLineNumbers w:val="0"/>
              <w:jc w:val="center"/>
              <w:textAlignment w:val="center"/>
              <w:rPr>
                <w:rFonts w:ascii="Times New Roman" w:hAnsi="Times New Roman" w:cs="Times New Roman"/>
                <w:b/>
                <w:bCs/>
                <w:color w:val="FF0000"/>
                <w:sz w:val="15"/>
                <w:szCs w:val="15"/>
                <w:vertAlign w:val="baseline"/>
              </w:rPr>
            </w:pPr>
            <w:r>
              <w:rPr>
                <w:rFonts w:hint="default" w:ascii="Times New Roman" w:hAnsi="Times New Roman" w:eastAsia="宋体" w:cs="Times New Roman"/>
                <w:b/>
                <w:bCs/>
                <w:i w:val="0"/>
                <w:iCs w:val="0"/>
                <w:color w:val="FF0000"/>
                <w:kern w:val="0"/>
                <w:sz w:val="15"/>
                <w:szCs w:val="15"/>
                <w:u w:val="none"/>
                <w:lang w:val="en-US" w:eastAsia="zh-CN" w:bidi="ar"/>
              </w:rPr>
              <w:t>SUCRA=82%</w:t>
            </w:r>
          </w:p>
        </w:tc>
        <w:tc>
          <w:tcPr>
            <w:tcW w:w="833" w:type="pct"/>
            <w:tcBorders>
              <w:top w:val="nil"/>
              <w:left w:val="single" w:color="auto" w:sz="4" w:space="0"/>
              <w:bottom w:val="single" w:color="auto" w:sz="4" w:space="0"/>
              <w:right w:val="nil"/>
            </w:tcBorders>
            <w:vAlign w:val="center"/>
          </w:tcPr>
          <w:p w14:paraId="44F0EBA6">
            <w:pPr>
              <w:jc w:val="center"/>
              <w:rPr>
                <w:rFonts w:ascii="Times New Roman" w:hAnsi="Times New Roman" w:cs="Times New Roman"/>
                <w:color w:val="FF0000"/>
                <w:sz w:val="15"/>
                <w:szCs w:val="15"/>
                <w:vertAlign w:val="baseline"/>
              </w:rPr>
            </w:pPr>
          </w:p>
        </w:tc>
        <w:tc>
          <w:tcPr>
            <w:tcW w:w="833" w:type="pct"/>
            <w:tcBorders>
              <w:top w:val="nil"/>
              <w:left w:val="nil"/>
              <w:bottom w:val="nil"/>
              <w:right w:val="nil"/>
            </w:tcBorders>
            <w:vAlign w:val="center"/>
          </w:tcPr>
          <w:p w14:paraId="76DAA9D7">
            <w:pPr>
              <w:jc w:val="center"/>
              <w:rPr>
                <w:rFonts w:ascii="Times New Roman" w:hAnsi="Times New Roman" w:cs="Times New Roman"/>
                <w:color w:val="FF0000"/>
                <w:sz w:val="15"/>
                <w:szCs w:val="15"/>
                <w:vertAlign w:val="baseline"/>
              </w:rPr>
            </w:pPr>
          </w:p>
        </w:tc>
        <w:tc>
          <w:tcPr>
            <w:tcW w:w="833" w:type="pct"/>
            <w:tcBorders>
              <w:top w:val="nil"/>
              <w:left w:val="nil"/>
              <w:bottom w:val="nil"/>
              <w:right w:val="nil"/>
            </w:tcBorders>
            <w:vAlign w:val="center"/>
          </w:tcPr>
          <w:p w14:paraId="173A15D1">
            <w:pPr>
              <w:jc w:val="center"/>
              <w:rPr>
                <w:rFonts w:ascii="Times New Roman" w:hAnsi="Times New Roman" w:cs="Times New Roman"/>
                <w:color w:val="FF0000"/>
                <w:sz w:val="15"/>
                <w:szCs w:val="15"/>
                <w:vertAlign w:val="baseline"/>
              </w:rPr>
            </w:pPr>
          </w:p>
        </w:tc>
        <w:tc>
          <w:tcPr>
            <w:tcW w:w="834" w:type="pct"/>
            <w:tcBorders>
              <w:top w:val="nil"/>
              <w:left w:val="nil"/>
              <w:bottom w:val="nil"/>
              <w:right w:val="nil"/>
            </w:tcBorders>
            <w:vAlign w:val="center"/>
          </w:tcPr>
          <w:p w14:paraId="224A8DD6">
            <w:pPr>
              <w:jc w:val="center"/>
              <w:rPr>
                <w:rFonts w:ascii="Times New Roman" w:hAnsi="Times New Roman" w:cs="Times New Roman"/>
                <w:color w:val="FF0000"/>
                <w:sz w:val="15"/>
                <w:szCs w:val="15"/>
                <w:vertAlign w:val="baseline"/>
              </w:rPr>
            </w:pPr>
          </w:p>
        </w:tc>
      </w:tr>
      <w:tr w14:paraId="7A6C8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833" w:type="pct"/>
            <w:vAlign w:val="center"/>
          </w:tcPr>
          <w:p w14:paraId="3713C3D9">
            <w:pPr>
              <w:keepNext w:val="0"/>
              <w:keepLines w:val="0"/>
              <w:widowControl/>
              <w:suppressLineNumbers w:val="0"/>
              <w:jc w:val="center"/>
              <w:textAlignment w:val="center"/>
              <w:rPr>
                <w:rFonts w:ascii="Times New Roman" w:hAnsi="Times New Roman" w:cs="Times New Roman"/>
                <w:color w:val="FF0000"/>
                <w:sz w:val="15"/>
                <w:szCs w:val="15"/>
                <w:vertAlign w:val="baseline"/>
              </w:rPr>
            </w:pPr>
            <w:r>
              <w:rPr>
                <w:rFonts w:hint="default" w:ascii="Times New Roman" w:hAnsi="Times New Roman" w:eastAsia="宋体" w:cs="Times New Roman"/>
                <w:b w:val="0"/>
                <w:bCs w:val="0"/>
                <w:i w:val="0"/>
                <w:iCs w:val="0"/>
                <w:color w:val="FF0000"/>
                <w:kern w:val="0"/>
                <w:sz w:val="15"/>
                <w:szCs w:val="15"/>
                <w:u w:val="none"/>
                <w:lang w:val="en-US" w:eastAsia="zh-CN" w:bidi="ar"/>
              </w:rPr>
              <w:t>-0.28 (-1.44,0.88)</w:t>
            </w:r>
          </w:p>
        </w:tc>
        <w:tc>
          <w:tcPr>
            <w:tcW w:w="833" w:type="pct"/>
            <w:vAlign w:val="center"/>
          </w:tcPr>
          <w:p w14:paraId="3255A341">
            <w:pPr>
              <w:keepNext w:val="0"/>
              <w:keepLines w:val="0"/>
              <w:widowControl/>
              <w:suppressLineNumbers w:val="0"/>
              <w:jc w:val="center"/>
              <w:textAlignment w:val="center"/>
              <w:rPr>
                <w:rFonts w:ascii="Times New Roman" w:hAnsi="Times New Roman" w:cs="Times New Roman"/>
                <w:b/>
                <w:bCs/>
                <w:color w:val="FF0000"/>
                <w:sz w:val="15"/>
                <w:szCs w:val="15"/>
                <w:vertAlign w:val="baseline"/>
              </w:rPr>
            </w:pPr>
            <w:r>
              <w:rPr>
                <w:rFonts w:hint="default" w:ascii="Times New Roman" w:hAnsi="Times New Roman" w:eastAsia="宋体" w:cs="Times New Roman"/>
                <w:b/>
                <w:bCs/>
                <w:i w:val="0"/>
                <w:iCs w:val="0"/>
                <w:color w:val="FF0000"/>
                <w:kern w:val="0"/>
                <w:sz w:val="15"/>
                <w:szCs w:val="15"/>
                <w:u w:val="none"/>
                <w:lang w:val="en-US" w:eastAsia="zh-CN" w:bidi="ar"/>
              </w:rPr>
              <w:t>IDI-PPIA group</w:t>
            </w:r>
          </w:p>
        </w:tc>
        <w:tc>
          <w:tcPr>
            <w:tcW w:w="833" w:type="pct"/>
            <w:tcBorders>
              <w:top w:val="single" w:color="auto" w:sz="4" w:space="0"/>
            </w:tcBorders>
            <w:vAlign w:val="center"/>
          </w:tcPr>
          <w:p w14:paraId="6CDC9104">
            <w:pPr>
              <w:keepNext w:val="0"/>
              <w:keepLines w:val="0"/>
              <w:widowControl/>
              <w:suppressLineNumbers w:val="0"/>
              <w:jc w:val="center"/>
              <w:textAlignment w:val="center"/>
              <w:rPr>
                <w:rFonts w:ascii="Times New Roman" w:hAnsi="Times New Roman" w:cs="Times New Roman"/>
                <w:b/>
                <w:bCs/>
                <w:color w:val="FF0000"/>
                <w:sz w:val="15"/>
                <w:szCs w:val="15"/>
                <w:vertAlign w:val="baseline"/>
              </w:rPr>
            </w:pPr>
            <w:r>
              <w:rPr>
                <w:rFonts w:hint="default" w:ascii="Times New Roman" w:hAnsi="Times New Roman" w:eastAsia="宋体" w:cs="Times New Roman"/>
                <w:b/>
                <w:bCs/>
                <w:i w:val="0"/>
                <w:iCs w:val="0"/>
                <w:color w:val="FF0000"/>
                <w:kern w:val="0"/>
                <w:sz w:val="15"/>
                <w:szCs w:val="15"/>
                <w:u w:val="none"/>
                <w:lang w:val="en-US" w:eastAsia="zh-CN" w:bidi="ar"/>
              </w:rPr>
              <w:t>SUCRA=50%</w:t>
            </w:r>
          </w:p>
        </w:tc>
        <w:tc>
          <w:tcPr>
            <w:tcW w:w="833" w:type="pct"/>
            <w:tcBorders>
              <w:top w:val="nil"/>
              <w:right w:val="nil"/>
            </w:tcBorders>
            <w:vAlign w:val="center"/>
          </w:tcPr>
          <w:p w14:paraId="7820F1F9">
            <w:pPr>
              <w:jc w:val="center"/>
              <w:rPr>
                <w:rFonts w:ascii="Times New Roman" w:hAnsi="Times New Roman" w:cs="Times New Roman"/>
                <w:color w:val="FF0000"/>
                <w:sz w:val="15"/>
                <w:szCs w:val="15"/>
                <w:vertAlign w:val="baseline"/>
              </w:rPr>
            </w:pPr>
          </w:p>
        </w:tc>
        <w:tc>
          <w:tcPr>
            <w:tcW w:w="833" w:type="pct"/>
            <w:tcBorders>
              <w:top w:val="nil"/>
              <w:left w:val="nil"/>
              <w:bottom w:val="nil"/>
              <w:right w:val="nil"/>
            </w:tcBorders>
            <w:vAlign w:val="center"/>
          </w:tcPr>
          <w:p w14:paraId="5BE9106E">
            <w:pPr>
              <w:jc w:val="center"/>
              <w:rPr>
                <w:rFonts w:ascii="Times New Roman" w:hAnsi="Times New Roman" w:cs="Times New Roman"/>
                <w:color w:val="FF0000"/>
                <w:sz w:val="15"/>
                <w:szCs w:val="15"/>
                <w:vertAlign w:val="baseline"/>
              </w:rPr>
            </w:pPr>
          </w:p>
        </w:tc>
        <w:tc>
          <w:tcPr>
            <w:tcW w:w="834" w:type="pct"/>
            <w:tcBorders>
              <w:top w:val="nil"/>
              <w:left w:val="nil"/>
              <w:bottom w:val="nil"/>
              <w:right w:val="nil"/>
            </w:tcBorders>
            <w:vAlign w:val="center"/>
          </w:tcPr>
          <w:p w14:paraId="27D17310">
            <w:pPr>
              <w:jc w:val="center"/>
              <w:rPr>
                <w:rFonts w:ascii="Times New Roman" w:hAnsi="Times New Roman" w:cs="Times New Roman"/>
                <w:color w:val="FF0000"/>
                <w:sz w:val="15"/>
                <w:szCs w:val="15"/>
                <w:vertAlign w:val="baseline"/>
              </w:rPr>
            </w:pPr>
          </w:p>
        </w:tc>
      </w:tr>
      <w:tr w14:paraId="19B0C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833" w:type="pct"/>
            <w:vAlign w:val="center"/>
          </w:tcPr>
          <w:p w14:paraId="76070124">
            <w:pPr>
              <w:keepNext w:val="0"/>
              <w:keepLines w:val="0"/>
              <w:widowControl/>
              <w:suppressLineNumbers w:val="0"/>
              <w:jc w:val="center"/>
              <w:textAlignment w:val="center"/>
              <w:rPr>
                <w:rFonts w:ascii="Times New Roman" w:hAnsi="Times New Roman" w:cs="Times New Roman"/>
                <w:color w:val="FF0000"/>
                <w:sz w:val="15"/>
                <w:szCs w:val="15"/>
                <w:vertAlign w:val="baseline"/>
              </w:rPr>
            </w:pPr>
            <w:r>
              <w:rPr>
                <w:rFonts w:hint="default" w:ascii="Times New Roman" w:hAnsi="Times New Roman" w:eastAsia="宋体" w:cs="Times New Roman"/>
                <w:b w:val="0"/>
                <w:bCs w:val="0"/>
                <w:i w:val="0"/>
                <w:iCs w:val="0"/>
                <w:color w:val="FF0000"/>
                <w:kern w:val="0"/>
                <w:sz w:val="15"/>
                <w:szCs w:val="15"/>
                <w:u w:val="none"/>
                <w:lang w:val="en-US" w:eastAsia="zh-CN" w:bidi="ar"/>
              </w:rPr>
              <w:t>-0.93 (-2.24,0.38)</w:t>
            </w:r>
          </w:p>
        </w:tc>
        <w:tc>
          <w:tcPr>
            <w:tcW w:w="833" w:type="pct"/>
            <w:vAlign w:val="center"/>
          </w:tcPr>
          <w:p w14:paraId="0B8EFB59">
            <w:pPr>
              <w:keepNext w:val="0"/>
              <w:keepLines w:val="0"/>
              <w:widowControl/>
              <w:suppressLineNumbers w:val="0"/>
              <w:jc w:val="center"/>
              <w:textAlignment w:val="center"/>
              <w:rPr>
                <w:rFonts w:ascii="Times New Roman" w:hAnsi="Times New Roman" w:cs="Times New Roman"/>
                <w:color w:val="FF0000"/>
                <w:sz w:val="15"/>
                <w:szCs w:val="15"/>
                <w:vertAlign w:val="baseline"/>
              </w:rPr>
            </w:pPr>
            <w:r>
              <w:rPr>
                <w:rFonts w:hint="default" w:ascii="Times New Roman" w:hAnsi="Times New Roman" w:eastAsia="宋体" w:cs="Times New Roman"/>
                <w:b w:val="0"/>
                <w:bCs w:val="0"/>
                <w:i w:val="0"/>
                <w:iCs w:val="0"/>
                <w:color w:val="FF0000"/>
                <w:kern w:val="0"/>
                <w:sz w:val="15"/>
                <w:szCs w:val="15"/>
                <w:u w:val="none"/>
                <w:lang w:val="en-US" w:eastAsia="zh-CN" w:bidi="ar"/>
              </w:rPr>
              <w:t>-0.65 (-1.69,0.39)</w:t>
            </w:r>
          </w:p>
        </w:tc>
        <w:tc>
          <w:tcPr>
            <w:tcW w:w="833" w:type="pct"/>
            <w:vAlign w:val="center"/>
          </w:tcPr>
          <w:p w14:paraId="49E6009A">
            <w:pPr>
              <w:keepNext w:val="0"/>
              <w:keepLines w:val="0"/>
              <w:widowControl/>
              <w:suppressLineNumbers w:val="0"/>
              <w:jc w:val="center"/>
              <w:textAlignment w:val="center"/>
              <w:rPr>
                <w:rFonts w:ascii="Times New Roman" w:hAnsi="Times New Roman" w:cs="Times New Roman"/>
                <w:b/>
                <w:bCs/>
                <w:color w:val="FF0000"/>
                <w:sz w:val="15"/>
                <w:szCs w:val="15"/>
                <w:vertAlign w:val="baseline"/>
              </w:rPr>
            </w:pPr>
            <w:r>
              <w:rPr>
                <w:rFonts w:hint="default" w:ascii="Times New Roman" w:hAnsi="Times New Roman" w:eastAsia="宋体" w:cs="Times New Roman"/>
                <w:b/>
                <w:bCs/>
                <w:i w:val="0"/>
                <w:iCs w:val="0"/>
                <w:color w:val="FF0000"/>
                <w:kern w:val="0"/>
                <w:sz w:val="15"/>
                <w:szCs w:val="15"/>
                <w:u w:val="none"/>
                <w:lang w:val="en-US" w:eastAsia="zh-CN" w:bidi="ar"/>
              </w:rPr>
              <w:t>IDI group</w:t>
            </w:r>
          </w:p>
        </w:tc>
        <w:tc>
          <w:tcPr>
            <w:tcW w:w="833" w:type="pct"/>
            <w:tcBorders>
              <w:right w:val="single" w:color="auto" w:sz="4" w:space="0"/>
            </w:tcBorders>
            <w:vAlign w:val="center"/>
          </w:tcPr>
          <w:p w14:paraId="378C9559">
            <w:pPr>
              <w:keepNext w:val="0"/>
              <w:keepLines w:val="0"/>
              <w:widowControl/>
              <w:suppressLineNumbers w:val="0"/>
              <w:jc w:val="center"/>
              <w:textAlignment w:val="center"/>
              <w:rPr>
                <w:rFonts w:ascii="Times New Roman" w:hAnsi="Times New Roman" w:cs="Times New Roman"/>
                <w:b/>
                <w:bCs/>
                <w:color w:val="FF0000"/>
                <w:sz w:val="15"/>
                <w:szCs w:val="15"/>
                <w:vertAlign w:val="baseline"/>
              </w:rPr>
            </w:pPr>
            <w:r>
              <w:rPr>
                <w:rFonts w:hint="default" w:ascii="Times New Roman" w:hAnsi="Times New Roman" w:eastAsia="宋体" w:cs="Times New Roman"/>
                <w:b/>
                <w:bCs/>
                <w:i w:val="0"/>
                <w:iCs w:val="0"/>
                <w:color w:val="FF0000"/>
                <w:kern w:val="0"/>
                <w:sz w:val="15"/>
                <w:szCs w:val="15"/>
                <w:u w:val="none"/>
                <w:lang w:val="en-US" w:eastAsia="zh-CN" w:bidi="ar"/>
              </w:rPr>
              <w:t>SUCRA=45%</w:t>
            </w:r>
          </w:p>
        </w:tc>
        <w:tc>
          <w:tcPr>
            <w:tcW w:w="833" w:type="pct"/>
            <w:tcBorders>
              <w:top w:val="nil"/>
              <w:left w:val="single" w:color="auto" w:sz="4" w:space="0"/>
              <w:bottom w:val="single" w:color="auto" w:sz="4" w:space="0"/>
              <w:right w:val="nil"/>
            </w:tcBorders>
            <w:vAlign w:val="center"/>
          </w:tcPr>
          <w:p w14:paraId="477F3311">
            <w:pPr>
              <w:jc w:val="center"/>
              <w:rPr>
                <w:rFonts w:ascii="Times New Roman" w:hAnsi="Times New Roman" w:cs="Times New Roman"/>
                <w:color w:val="FF0000"/>
                <w:sz w:val="15"/>
                <w:szCs w:val="15"/>
                <w:vertAlign w:val="baseline"/>
              </w:rPr>
            </w:pPr>
          </w:p>
        </w:tc>
        <w:tc>
          <w:tcPr>
            <w:tcW w:w="834" w:type="pct"/>
            <w:tcBorders>
              <w:top w:val="nil"/>
              <w:left w:val="nil"/>
              <w:bottom w:val="nil"/>
              <w:right w:val="nil"/>
            </w:tcBorders>
            <w:vAlign w:val="center"/>
          </w:tcPr>
          <w:p w14:paraId="0D68B5DA">
            <w:pPr>
              <w:jc w:val="center"/>
              <w:rPr>
                <w:rFonts w:ascii="Times New Roman" w:hAnsi="Times New Roman" w:cs="Times New Roman"/>
                <w:color w:val="FF0000"/>
                <w:sz w:val="15"/>
                <w:szCs w:val="15"/>
                <w:vertAlign w:val="baseline"/>
              </w:rPr>
            </w:pPr>
          </w:p>
        </w:tc>
      </w:tr>
      <w:tr w14:paraId="7801F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833" w:type="pct"/>
            <w:vAlign w:val="center"/>
          </w:tcPr>
          <w:p w14:paraId="5AF8F68D">
            <w:pPr>
              <w:keepNext w:val="0"/>
              <w:keepLines w:val="0"/>
              <w:widowControl/>
              <w:suppressLineNumbers w:val="0"/>
              <w:jc w:val="center"/>
              <w:textAlignment w:val="center"/>
              <w:rPr>
                <w:rFonts w:ascii="Times New Roman" w:hAnsi="Times New Roman" w:cs="Times New Roman"/>
                <w:color w:val="FF0000"/>
                <w:sz w:val="15"/>
                <w:szCs w:val="15"/>
                <w:vertAlign w:val="baseline"/>
              </w:rPr>
            </w:pPr>
            <w:r>
              <w:rPr>
                <w:rFonts w:hint="default" w:ascii="Times New Roman" w:hAnsi="Times New Roman" w:eastAsia="宋体" w:cs="Times New Roman"/>
                <w:b w:val="0"/>
                <w:bCs w:val="0"/>
                <w:i w:val="0"/>
                <w:iCs w:val="0"/>
                <w:color w:val="FF0000"/>
                <w:kern w:val="0"/>
                <w:sz w:val="15"/>
                <w:szCs w:val="15"/>
                <w:u w:val="none"/>
                <w:lang w:val="en-US" w:eastAsia="zh-CN" w:bidi="ar"/>
              </w:rPr>
              <w:t>-1.03 (-2.28,0.22)</w:t>
            </w:r>
          </w:p>
        </w:tc>
        <w:tc>
          <w:tcPr>
            <w:tcW w:w="833" w:type="pct"/>
            <w:vAlign w:val="center"/>
          </w:tcPr>
          <w:p w14:paraId="331F395B">
            <w:pPr>
              <w:keepNext w:val="0"/>
              <w:keepLines w:val="0"/>
              <w:widowControl/>
              <w:suppressLineNumbers w:val="0"/>
              <w:jc w:val="center"/>
              <w:textAlignment w:val="center"/>
              <w:rPr>
                <w:rFonts w:ascii="Times New Roman" w:hAnsi="Times New Roman" w:cs="Times New Roman"/>
                <w:color w:val="FF0000"/>
                <w:sz w:val="15"/>
                <w:szCs w:val="15"/>
                <w:vertAlign w:val="baseline"/>
              </w:rPr>
            </w:pPr>
            <w:r>
              <w:rPr>
                <w:rFonts w:hint="default" w:ascii="Times New Roman" w:hAnsi="Times New Roman" w:eastAsia="宋体" w:cs="Times New Roman"/>
                <w:b w:val="0"/>
                <w:bCs w:val="0"/>
                <w:i w:val="0"/>
                <w:iCs w:val="0"/>
                <w:color w:val="FF0000"/>
                <w:kern w:val="0"/>
                <w:sz w:val="15"/>
                <w:szCs w:val="15"/>
                <w:u w:val="none"/>
                <w:lang w:val="en-US" w:eastAsia="zh-CN" w:bidi="ar"/>
              </w:rPr>
              <w:t>-0.75 (-1.81,0.31)</w:t>
            </w:r>
          </w:p>
        </w:tc>
        <w:tc>
          <w:tcPr>
            <w:tcW w:w="833" w:type="pct"/>
            <w:vAlign w:val="center"/>
          </w:tcPr>
          <w:p w14:paraId="7D242419">
            <w:pPr>
              <w:keepNext w:val="0"/>
              <w:keepLines w:val="0"/>
              <w:widowControl/>
              <w:suppressLineNumbers w:val="0"/>
              <w:jc w:val="center"/>
              <w:textAlignment w:val="center"/>
              <w:rPr>
                <w:rFonts w:ascii="Times New Roman" w:hAnsi="Times New Roman" w:cs="Times New Roman"/>
                <w:color w:val="FF0000"/>
                <w:sz w:val="15"/>
                <w:szCs w:val="15"/>
                <w:vertAlign w:val="baseline"/>
              </w:rPr>
            </w:pPr>
            <w:r>
              <w:rPr>
                <w:rFonts w:hint="default" w:ascii="Times New Roman" w:hAnsi="Times New Roman" w:eastAsia="宋体" w:cs="Times New Roman"/>
                <w:b w:val="0"/>
                <w:bCs w:val="0"/>
                <w:i w:val="0"/>
                <w:iCs w:val="0"/>
                <w:color w:val="FF0000"/>
                <w:kern w:val="0"/>
                <w:sz w:val="15"/>
                <w:szCs w:val="15"/>
                <w:u w:val="none"/>
                <w:lang w:val="en-US" w:eastAsia="zh-CN" w:bidi="ar"/>
              </w:rPr>
              <w:t>-0.09 (-1.05,0.87)</w:t>
            </w:r>
          </w:p>
        </w:tc>
        <w:tc>
          <w:tcPr>
            <w:tcW w:w="833" w:type="pct"/>
            <w:vAlign w:val="center"/>
          </w:tcPr>
          <w:p w14:paraId="148EF5CC">
            <w:pPr>
              <w:keepNext w:val="0"/>
              <w:keepLines w:val="0"/>
              <w:widowControl/>
              <w:suppressLineNumbers w:val="0"/>
              <w:jc w:val="center"/>
              <w:textAlignment w:val="center"/>
              <w:rPr>
                <w:rFonts w:ascii="Times New Roman" w:hAnsi="Times New Roman" w:cs="Times New Roman"/>
                <w:b/>
                <w:bCs/>
                <w:color w:val="FF0000"/>
                <w:sz w:val="15"/>
                <w:szCs w:val="15"/>
                <w:vertAlign w:val="baseline"/>
              </w:rPr>
            </w:pPr>
            <w:r>
              <w:rPr>
                <w:rFonts w:hint="default" w:ascii="Times New Roman" w:hAnsi="Times New Roman" w:eastAsia="宋体" w:cs="Times New Roman"/>
                <w:b/>
                <w:bCs/>
                <w:i w:val="0"/>
                <w:iCs w:val="0"/>
                <w:color w:val="FF0000"/>
                <w:kern w:val="0"/>
                <w:sz w:val="15"/>
                <w:szCs w:val="15"/>
                <w:u w:val="none"/>
                <w:lang w:val="en-US" w:eastAsia="zh-CN" w:bidi="ar"/>
              </w:rPr>
              <w:t>PDI group</w:t>
            </w:r>
          </w:p>
        </w:tc>
        <w:tc>
          <w:tcPr>
            <w:tcW w:w="833" w:type="pct"/>
            <w:tcBorders>
              <w:top w:val="single" w:color="auto" w:sz="4" w:space="0"/>
            </w:tcBorders>
            <w:vAlign w:val="center"/>
          </w:tcPr>
          <w:p w14:paraId="1EA3CEDA">
            <w:pPr>
              <w:keepNext w:val="0"/>
              <w:keepLines w:val="0"/>
              <w:widowControl/>
              <w:suppressLineNumbers w:val="0"/>
              <w:jc w:val="center"/>
              <w:textAlignment w:val="center"/>
              <w:rPr>
                <w:rFonts w:ascii="Times New Roman" w:hAnsi="Times New Roman" w:cs="Times New Roman"/>
                <w:b/>
                <w:bCs/>
                <w:color w:val="FF0000"/>
                <w:sz w:val="15"/>
                <w:szCs w:val="15"/>
                <w:vertAlign w:val="baseline"/>
              </w:rPr>
            </w:pPr>
            <w:r>
              <w:rPr>
                <w:rFonts w:hint="default" w:ascii="Times New Roman" w:hAnsi="Times New Roman" w:eastAsia="宋体" w:cs="Times New Roman"/>
                <w:b/>
                <w:bCs/>
                <w:i w:val="0"/>
                <w:iCs w:val="0"/>
                <w:color w:val="FF0000"/>
                <w:kern w:val="0"/>
                <w:sz w:val="15"/>
                <w:szCs w:val="15"/>
                <w:u w:val="none"/>
                <w:lang w:val="en-US" w:eastAsia="zh-CN" w:bidi="ar"/>
              </w:rPr>
              <w:t>SUCRA=31%</w:t>
            </w:r>
          </w:p>
        </w:tc>
        <w:tc>
          <w:tcPr>
            <w:tcW w:w="834" w:type="pct"/>
            <w:tcBorders>
              <w:top w:val="nil"/>
              <w:right w:val="nil"/>
            </w:tcBorders>
            <w:vAlign w:val="center"/>
          </w:tcPr>
          <w:p w14:paraId="10A70622">
            <w:pPr>
              <w:jc w:val="center"/>
              <w:rPr>
                <w:rFonts w:ascii="Times New Roman" w:hAnsi="Times New Roman" w:cs="Times New Roman"/>
                <w:color w:val="FF0000"/>
                <w:sz w:val="15"/>
                <w:szCs w:val="15"/>
                <w:vertAlign w:val="baseline"/>
              </w:rPr>
            </w:pPr>
          </w:p>
        </w:tc>
      </w:tr>
      <w:tr w14:paraId="29A36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833" w:type="pct"/>
            <w:vAlign w:val="center"/>
          </w:tcPr>
          <w:p w14:paraId="229FEFA7">
            <w:pPr>
              <w:keepNext w:val="0"/>
              <w:keepLines w:val="0"/>
              <w:widowControl/>
              <w:suppressLineNumbers w:val="0"/>
              <w:jc w:val="center"/>
              <w:textAlignment w:val="center"/>
              <w:rPr>
                <w:rFonts w:ascii="Times New Roman" w:hAnsi="Times New Roman" w:cs="Times New Roman"/>
                <w:b/>
                <w:bCs/>
                <w:color w:val="FF0000"/>
                <w:sz w:val="15"/>
                <w:szCs w:val="15"/>
                <w:vertAlign w:val="baseline"/>
              </w:rPr>
            </w:pPr>
            <w:r>
              <w:rPr>
                <w:rFonts w:hint="default" w:ascii="Times New Roman" w:hAnsi="Times New Roman" w:eastAsia="宋体" w:cs="Times New Roman"/>
                <w:b/>
                <w:bCs/>
                <w:i w:val="0"/>
                <w:iCs w:val="0"/>
                <w:color w:val="FF0000"/>
                <w:kern w:val="0"/>
                <w:sz w:val="15"/>
                <w:szCs w:val="15"/>
                <w:u w:val="none"/>
                <w:lang w:val="en-US" w:eastAsia="zh-CN" w:bidi="ar"/>
              </w:rPr>
              <w:t>-1.24 (-2.30,-0.18)</w:t>
            </w:r>
          </w:p>
        </w:tc>
        <w:tc>
          <w:tcPr>
            <w:tcW w:w="833" w:type="pct"/>
            <w:vAlign w:val="center"/>
          </w:tcPr>
          <w:p w14:paraId="58021A8C">
            <w:pPr>
              <w:keepNext w:val="0"/>
              <w:keepLines w:val="0"/>
              <w:widowControl/>
              <w:suppressLineNumbers w:val="0"/>
              <w:jc w:val="center"/>
              <w:textAlignment w:val="center"/>
              <w:rPr>
                <w:rFonts w:ascii="Times New Roman" w:hAnsi="Times New Roman" w:cs="Times New Roman"/>
                <w:b/>
                <w:bCs/>
                <w:color w:val="FF0000"/>
                <w:sz w:val="15"/>
                <w:szCs w:val="15"/>
                <w:vertAlign w:val="baseline"/>
              </w:rPr>
            </w:pPr>
            <w:r>
              <w:rPr>
                <w:rFonts w:hint="default" w:ascii="Times New Roman" w:hAnsi="Times New Roman" w:eastAsia="宋体" w:cs="Times New Roman"/>
                <w:b/>
                <w:bCs/>
                <w:i w:val="0"/>
                <w:iCs w:val="0"/>
                <w:color w:val="FF0000"/>
                <w:kern w:val="0"/>
                <w:sz w:val="15"/>
                <w:szCs w:val="15"/>
                <w:u w:val="none"/>
                <w:lang w:val="en-US" w:eastAsia="zh-CN" w:bidi="ar"/>
              </w:rPr>
              <w:t>-0.96 (-1.61,-0.31)</w:t>
            </w:r>
          </w:p>
        </w:tc>
        <w:tc>
          <w:tcPr>
            <w:tcW w:w="833" w:type="pct"/>
            <w:vAlign w:val="center"/>
          </w:tcPr>
          <w:p w14:paraId="7A5E7C40">
            <w:pPr>
              <w:keepNext w:val="0"/>
              <w:keepLines w:val="0"/>
              <w:widowControl/>
              <w:suppressLineNumbers w:val="0"/>
              <w:jc w:val="center"/>
              <w:textAlignment w:val="center"/>
              <w:rPr>
                <w:rFonts w:ascii="Times New Roman" w:hAnsi="Times New Roman" w:cs="Times New Roman"/>
                <w:color w:val="FF0000"/>
                <w:sz w:val="15"/>
                <w:szCs w:val="15"/>
                <w:vertAlign w:val="baseline"/>
              </w:rPr>
            </w:pPr>
            <w:r>
              <w:rPr>
                <w:rFonts w:hint="default" w:ascii="Times New Roman" w:hAnsi="Times New Roman" w:eastAsia="宋体" w:cs="Times New Roman"/>
                <w:b w:val="0"/>
                <w:bCs w:val="0"/>
                <w:i w:val="0"/>
                <w:iCs w:val="0"/>
                <w:color w:val="FF0000"/>
                <w:kern w:val="0"/>
                <w:sz w:val="15"/>
                <w:szCs w:val="15"/>
                <w:u w:val="none"/>
                <w:lang w:val="en-US" w:eastAsia="zh-CN" w:bidi="ar"/>
              </w:rPr>
              <w:t>-0.31 (-1.21,0.59)</w:t>
            </w:r>
          </w:p>
        </w:tc>
        <w:tc>
          <w:tcPr>
            <w:tcW w:w="833" w:type="pct"/>
            <w:vAlign w:val="center"/>
          </w:tcPr>
          <w:p w14:paraId="1910A235">
            <w:pPr>
              <w:keepNext w:val="0"/>
              <w:keepLines w:val="0"/>
              <w:widowControl/>
              <w:suppressLineNumbers w:val="0"/>
              <w:jc w:val="center"/>
              <w:textAlignment w:val="center"/>
              <w:rPr>
                <w:rFonts w:ascii="Times New Roman" w:hAnsi="Times New Roman" w:cs="Times New Roman"/>
                <w:color w:val="FF0000"/>
                <w:sz w:val="15"/>
                <w:szCs w:val="15"/>
                <w:vertAlign w:val="baseline"/>
              </w:rPr>
            </w:pPr>
            <w:r>
              <w:rPr>
                <w:rFonts w:hint="default" w:ascii="Times New Roman" w:hAnsi="Times New Roman" w:eastAsia="宋体" w:cs="Times New Roman"/>
                <w:b w:val="0"/>
                <w:bCs w:val="0"/>
                <w:i w:val="0"/>
                <w:iCs w:val="0"/>
                <w:color w:val="FF0000"/>
                <w:kern w:val="0"/>
                <w:sz w:val="15"/>
                <w:szCs w:val="15"/>
                <w:u w:val="none"/>
                <w:lang w:val="en-US" w:eastAsia="zh-CN" w:bidi="ar"/>
              </w:rPr>
              <w:t>-0.22 (-1.10,0.66)</w:t>
            </w:r>
          </w:p>
        </w:tc>
        <w:tc>
          <w:tcPr>
            <w:tcW w:w="833" w:type="pct"/>
            <w:vAlign w:val="center"/>
          </w:tcPr>
          <w:p w14:paraId="0EBAD50B">
            <w:pPr>
              <w:keepNext w:val="0"/>
              <w:keepLines w:val="0"/>
              <w:widowControl/>
              <w:suppressLineNumbers w:val="0"/>
              <w:jc w:val="center"/>
              <w:textAlignment w:val="center"/>
              <w:rPr>
                <w:rFonts w:ascii="Times New Roman" w:hAnsi="Times New Roman" w:cs="Times New Roman"/>
                <w:b/>
                <w:bCs/>
                <w:color w:val="FF0000"/>
                <w:sz w:val="15"/>
                <w:szCs w:val="15"/>
                <w:vertAlign w:val="baseline"/>
              </w:rPr>
            </w:pPr>
            <w:r>
              <w:rPr>
                <w:rFonts w:hint="default" w:ascii="Times New Roman" w:hAnsi="Times New Roman" w:eastAsia="宋体" w:cs="Times New Roman"/>
                <w:b/>
                <w:bCs/>
                <w:i w:val="0"/>
                <w:iCs w:val="0"/>
                <w:color w:val="FF0000"/>
                <w:kern w:val="0"/>
                <w:sz w:val="15"/>
                <w:szCs w:val="15"/>
                <w:u w:val="none"/>
                <w:lang w:val="en-US" w:eastAsia="zh-CN" w:bidi="ar"/>
              </w:rPr>
              <w:t>PPIA group</w:t>
            </w:r>
          </w:p>
        </w:tc>
        <w:tc>
          <w:tcPr>
            <w:tcW w:w="834" w:type="pct"/>
            <w:tcBorders>
              <w:bottom w:val="single" w:color="auto" w:sz="4" w:space="0"/>
              <w:right w:val="single" w:color="auto" w:sz="4" w:space="0"/>
            </w:tcBorders>
            <w:vAlign w:val="center"/>
          </w:tcPr>
          <w:p w14:paraId="34877D19">
            <w:pPr>
              <w:jc w:val="center"/>
              <w:rPr>
                <w:rFonts w:hint="eastAsia" w:ascii="Times New Roman" w:hAnsi="Times New Roman" w:cs="Times New Roman"/>
                <w:b/>
                <w:bCs/>
                <w:color w:val="FF0000"/>
                <w:sz w:val="15"/>
                <w:szCs w:val="15"/>
                <w:vertAlign w:val="baseline"/>
              </w:rPr>
            </w:pPr>
            <w:r>
              <w:rPr>
                <w:rFonts w:hint="default" w:ascii="Times New Roman" w:hAnsi="Times New Roman" w:eastAsia="宋体" w:cs="Times New Roman"/>
                <w:b/>
                <w:bCs/>
                <w:i w:val="0"/>
                <w:iCs w:val="0"/>
                <w:color w:val="FF0000"/>
                <w:kern w:val="0"/>
                <w:sz w:val="15"/>
                <w:szCs w:val="15"/>
                <w:u w:val="none"/>
                <w:lang w:val="en-US" w:eastAsia="zh-CN" w:bidi="ar"/>
              </w:rPr>
              <w:t>SUCRA=</w:t>
            </w:r>
            <w:r>
              <w:rPr>
                <w:rFonts w:hint="eastAsia" w:ascii="Times New Roman" w:hAnsi="Times New Roman" w:eastAsia="宋体" w:cs="Times New Roman"/>
                <w:b/>
                <w:bCs/>
                <w:i w:val="0"/>
                <w:iCs w:val="0"/>
                <w:color w:val="FF0000"/>
                <w:kern w:val="0"/>
                <w:sz w:val="15"/>
                <w:szCs w:val="15"/>
                <w:u w:val="none"/>
                <w:lang w:val="en-US" w:eastAsia="zh-CN" w:bidi="ar"/>
              </w:rPr>
              <w:t>9</w:t>
            </w:r>
            <w:r>
              <w:rPr>
                <w:rFonts w:hint="default" w:ascii="Times New Roman" w:hAnsi="Times New Roman" w:eastAsia="宋体" w:cs="Times New Roman"/>
                <w:b/>
                <w:bCs/>
                <w:i w:val="0"/>
                <w:iCs w:val="0"/>
                <w:color w:val="FF0000"/>
                <w:kern w:val="0"/>
                <w:sz w:val="15"/>
                <w:szCs w:val="15"/>
                <w:u w:val="none"/>
                <w:lang w:val="en-US" w:eastAsia="zh-CN" w:bidi="ar"/>
              </w:rPr>
              <w:t>%</w:t>
            </w:r>
          </w:p>
        </w:tc>
      </w:tr>
      <w:tr w14:paraId="47AB1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833" w:type="pct"/>
            <w:vAlign w:val="center"/>
          </w:tcPr>
          <w:p w14:paraId="71A73488">
            <w:pPr>
              <w:keepNext w:val="0"/>
              <w:keepLines w:val="0"/>
              <w:widowControl/>
              <w:suppressLineNumbers w:val="0"/>
              <w:jc w:val="center"/>
              <w:textAlignment w:val="center"/>
              <w:rPr>
                <w:rFonts w:ascii="Times New Roman" w:hAnsi="Times New Roman" w:cs="Times New Roman"/>
                <w:b/>
                <w:bCs/>
                <w:color w:val="FF0000"/>
                <w:sz w:val="15"/>
                <w:szCs w:val="15"/>
                <w:vertAlign w:val="baseline"/>
              </w:rPr>
            </w:pPr>
            <w:r>
              <w:rPr>
                <w:rFonts w:hint="default" w:ascii="Times New Roman" w:hAnsi="Times New Roman" w:eastAsia="宋体" w:cs="Times New Roman"/>
                <w:b/>
                <w:bCs/>
                <w:i w:val="0"/>
                <w:iCs w:val="0"/>
                <w:color w:val="FF0000"/>
                <w:kern w:val="0"/>
                <w:sz w:val="15"/>
                <w:szCs w:val="15"/>
                <w:u w:val="none"/>
                <w:lang w:val="en-US" w:eastAsia="zh-CN" w:bidi="ar"/>
              </w:rPr>
              <w:t>-2.22 (-3.40,-1.04)</w:t>
            </w:r>
          </w:p>
        </w:tc>
        <w:tc>
          <w:tcPr>
            <w:tcW w:w="833" w:type="pct"/>
            <w:vAlign w:val="center"/>
          </w:tcPr>
          <w:p w14:paraId="5C3FA080">
            <w:pPr>
              <w:keepNext w:val="0"/>
              <w:keepLines w:val="0"/>
              <w:widowControl/>
              <w:suppressLineNumbers w:val="0"/>
              <w:jc w:val="center"/>
              <w:textAlignment w:val="center"/>
              <w:rPr>
                <w:rFonts w:ascii="Times New Roman" w:hAnsi="Times New Roman" w:cs="Times New Roman"/>
                <w:b/>
                <w:bCs/>
                <w:color w:val="FF0000"/>
                <w:sz w:val="15"/>
                <w:szCs w:val="15"/>
                <w:vertAlign w:val="baseline"/>
              </w:rPr>
            </w:pPr>
            <w:r>
              <w:rPr>
                <w:rFonts w:hint="default" w:ascii="Times New Roman" w:hAnsi="Times New Roman" w:eastAsia="宋体" w:cs="Times New Roman"/>
                <w:b/>
                <w:bCs/>
                <w:i w:val="0"/>
                <w:iCs w:val="0"/>
                <w:color w:val="FF0000"/>
                <w:kern w:val="0"/>
                <w:sz w:val="15"/>
                <w:szCs w:val="15"/>
                <w:u w:val="none"/>
                <w:lang w:val="en-US" w:eastAsia="zh-CN" w:bidi="ar"/>
              </w:rPr>
              <w:t>-1.94 (-2.82,-1.06)</w:t>
            </w:r>
          </w:p>
        </w:tc>
        <w:tc>
          <w:tcPr>
            <w:tcW w:w="833" w:type="pct"/>
            <w:vAlign w:val="center"/>
          </w:tcPr>
          <w:p w14:paraId="1B5224F9">
            <w:pPr>
              <w:keepNext w:val="0"/>
              <w:keepLines w:val="0"/>
              <w:widowControl/>
              <w:suppressLineNumbers w:val="0"/>
              <w:jc w:val="center"/>
              <w:textAlignment w:val="center"/>
              <w:rPr>
                <w:rFonts w:ascii="Times New Roman" w:hAnsi="Times New Roman" w:cs="Times New Roman"/>
                <w:b/>
                <w:bCs/>
                <w:color w:val="FF0000"/>
                <w:sz w:val="15"/>
                <w:szCs w:val="15"/>
                <w:vertAlign w:val="baseline"/>
              </w:rPr>
            </w:pPr>
            <w:r>
              <w:rPr>
                <w:rFonts w:hint="default" w:ascii="Times New Roman" w:hAnsi="Times New Roman" w:eastAsia="宋体" w:cs="Times New Roman"/>
                <w:b/>
                <w:bCs/>
                <w:i w:val="0"/>
                <w:iCs w:val="0"/>
                <w:color w:val="FF0000"/>
                <w:kern w:val="0"/>
                <w:sz w:val="15"/>
                <w:szCs w:val="15"/>
                <w:u w:val="none"/>
                <w:lang w:val="en-US" w:eastAsia="zh-CN" w:bidi="ar"/>
              </w:rPr>
              <w:t>-1.29 (-2.09,-0.49)</w:t>
            </w:r>
          </w:p>
        </w:tc>
        <w:tc>
          <w:tcPr>
            <w:tcW w:w="833" w:type="pct"/>
            <w:vAlign w:val="center"/>
          </w:tcPr>
          <w:p w14:paraId="5C550C09">
            <w:pPr>
              <w:keepNext w:val="0"/>
              <w:keepLines w:val="0"/>
              <w:widowControl/>
              <w:suppressLineNumbers w:val="0"/>
              <w:jc w:val="center"/>
              <w:textAlignment w:val="center"/>
              <w:rPr>
                <w:rFonts w:ascii="Times New Roman" w:hAnsi="Times New Roman" w:cs="Times New Roman"/>
                <w:b/>
                <w:bCs/>
                <w:color w:val="FF0000"/>
                <w:sz w:val="15"/>
                <w:szCs w:val="15"/>
                <w:vertAlign w:val="baseline"/>
              </w:rPr>
            </w:pPr>
            <w:r>
              <w:rPr>
                <w:rFonts w:hint="default" w:ascii="Times New Roman" w:hAnsi="Times New Roman" w:eastAsia="宋体" w:cs="Times New Roman"/>
                <w:b/>
                <w:bCs/>
                <w:i w:val="0"/>
                <w:iCs w:val="0"/>
                <w:color w:val="FF0000"/>
                <w:kern w:val="0"/>
                <w:sz w:val="15"/>
                <w:szCs w:val="15"/>
                <w:u w:val="none"/>
                <w:lang w:val="en-US" w:eastAsia="zh-CN" w:bidi="ar"/>
              </w:rPr>
              <w:t>-1.19 (-1.90,-0.48)</w:t>
            </w:r>
          </w:p>
        </w:tc>
        <w:tc>
          <w:tcPr>
            <w:tcW w:w="833" w:type="pct"/>
            <w:vAlign w:val="center"/>
          </w:tcPr>
          <w:p w14:paraId="19787DAD">
            <w:pPr>
              <w:keepNext w:val="0"/>
              <w:keepLines w:val="0"/>
              <w:widowControl/>
              <w:suppressLineNumbers w:val="0"/>
              <w:jc w:val="center"/>
              <w:textAlignment w:val="center"/>
              <w:rPr>
                <w:rFonts w:ascii="Times New Roman" w:hAnsi="Times New Roman" w:cs="Times New Roman"/>
                <w:b/>
                <w:bCs/>
                <w:color w:val="FF0000"/>
                <w:sz w:val="15"/>
                <w:szCs w:val="15"/>
                <w:vertAlign w:val="baseline"/>
              </w:rPr>
            </w:pPr>
            <w:r>
              <w:rPr>
                <w:rFonts w:hint="default" w:ascii="Times New Roman" w:hAnsi="Times New Roman" w:eastAsia="宋体" w:cs="Times New Roman"/>
                <w:b/>
                <w:bCs/>
                <w:i w:val="0"/>
                <w:iCs w:val="0"/>
                <w:color w:val="FF0000"/>
                <w:kern w:val="0"/>
                <w:sz w:val="15"/>
                <w:szCs w:val="15"/>
                <w:u w:val="none"/>
                <w:lang w:val="en-US" w:eastAsia="zh-CN" w:bidi="ar"/>
              </w:rPr>
              <w:t>-0.97 (-1.64,-0.30)</w:t>
            </w:r>
          </w:p>
        </w:tc>
        <w:tc>
          <w:tcPr>
            <w:tcW w:w="834" w:type="pct"/>
            <w:tcBorders>
              <w:top w:val="single" w:color="auto" w:sz="4" w:space="0"/>
            </w:tcBorders>
            <w:vAlign w:val="center"/>
          </w:tcPr>
          <w:p w14:paraId="65F931C7">
            <w:pPr>
              <w:keepNext w:val="0"/>
              <w:keepLines w:val="0"/>
              <w:widowControl/>
              <w:suppressLineNumbers w:val="0"/>
              <w:jc w:val="center"/>
              <w:textAlignment w:val="center"/>
              <w:rPr>
                <w:rFonts w:ascii="Times New Roman" w:hAnsi="Times New Roman" w:cs="Times New Roman"/>
                <w:b/>
                <w:bCs/>
                <w:color w:val="FF0000"/>
                <w:sz w:val="15"/>
                <w:szCs w:val="15"/>
                <w:vertAlign w:val="baseline"/>
              </w:rPr>
            </w:pPr>
            <w:r>
              <w:rPr>
                <w:rFonts w:hint="default" w:ascii="Times New Roman" w:hAnsi="Times New Roman" w:eastAsia="宋体" w:cs="Times New Roman"/>
                <w:b/>
                <w:bCs/>
                <w:i w:val="0"/>
                <w:iCs w:val="0"/>
                <w:color w:val="FF0000"/>
                <w:kern w:val="0"/>
                <w:sz w:val="15"/>
                <w:szCs w:val="15"/>
                <w:u w:val="none"/>
                <w:lang w:val="en-US" w:eastAsia="zh-CN" w:bidi="ar"/>
              </w:rPr>
              <w:t>Usual care group</w:t>
            </w:r>
          </w:p>
        </w:tc>
      </w:tr>
    </w:tbl>
    <w:p w14:paraId="081356F4">
      <w:pPr>
        <w:rPr>
          <w:rFonts w:ascii="Arial" w:hAnsi="Arial" w:cs="Arial"/>
          <w:sz w:val="24"/>
          <w:szCs w:val="24"/>
        </w:rPr>
      </w:pPr>
    </w:p>
    <w:p w14:paraId="41A6805A"/>
    <w:p w14:paraId="60374A7A">
      <w:pPr>
        <w:rPr>
          <w:rFonts w:hint="eastAsia" w:ascii="Arial" w:hAnsi="Arial" w:cs="Arial"/>
          <w:color w:val="000000" w:themeColor="text1"/>
          <w:sz w:val="24"/>
          <w:szCs w:val="24"/>
          <w14:textFill>
            <w14:solidFill>
              <w14:schemeClr w14:val="tx1"/>
            </w14:solidFill>
          </w14:textFill>
        </w:rPr>
      </w:pPr>
    </w:p>
    <w:p w14:paraId="2C280705">
      <w:r>
        <w:drawing>
          <wp:inline distT="0" distB="0" distL="114300" distR="114300">
            <wp:extent cx="4559300" cy="3481070"/>
            <wp:effectExtent l="0" t="0" r="0" b="0"/>
            <wp:docPr id="1" name="图片 1" descr="父母焦虑的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父母焦虑的map"/>
                    <pic:cNvPicPr>
                      <a:picLocks noChangeAspect="1"/>
                    </pic:cNvPicPr>
                  </pic:nvPicPr>
                  <pic:blipFill>
                    <a:blip r:embed="rId5"/>
                    <a:srcRect t="2282"/>
                    <a:stretch>
                      <a:fillRect/>
                    </a:stretch>
                  </pic:blipFill>
                  <pic:spPr>
                    <a:xfrm>
                      <a:off x="0" y="0"/>
                      <a:ext cx="4559300" cy="3481070"/>
                    </a:xfrm>
                    <a:prstGeom prst="rect">
                      <a:avLst/>
                    </a:prstGeom>
                  </pic:spPr>
                </pic:pic>
              </a:graphicData>
            </a:graphic>
          </wp:inline>
        </w:drawing>
      </w:r>
    </w:p>
    <w:p w14:paraId="61040523">
      <w:pPr>
        <w:rPr>
          <w:rFonts w:ascii="Arial" w:hAnsi="Arial" w:cs="Arial"/>
          <w:color w:val="FF0000"/>
          <w:sz w:val="24"/>
          <w:szCs w:val="24"/>
        </w:rPr>
      </w:pPr>
      <w:r>
        <w:rPr>
          <w:rFonts w:ascii="Arial" w:hAnsi="Arial" w:cs="Arial"/>
          <w:color w:val="FF0000"/>
          <w:sz w:val="24"/>
          <w:szCs w:val="24"/>
        </w:rPr>
        <w:t xml:space="preserve">Fig. 2. </w:t>
      </w:r>
      <w:r>
        <w:rPr>
          <w:rFonts w:hint="eastAsia" w:ascii="Arial" w:hAnsi="Arial" w:cs="Arial"/>
          <w:color w:val="FF0000"/>
          <w:sz w:val="24"/>
          <w:szCs w:val="24"/>
          <w:lang w:val="en-US" w:eastAsia="zh-CN"/>
        </w:rPr>
        <w:t>N</w:t>
      </w:r>
      <w:r>
        <w:rPr>
          <w:rFonts w:ascii="Arial" w:hAnsi="Arial" w:cs="Arial"/>
          <w:color w:val="FF0000"/>
          <w:sz w:val="24"/>
          <w:szCs w:val="24"/>
        </w:rPr>
        <w:t>etwork map for the comparison of different interventions abo</w:t>
      </w:r>
      <w:r>
        <w:rPr>
          <w:rFonts w:hint="eastAsia" w:ascii="Arial" w:hAnsi="Arial" w:cs="Arial"/>
          <w:color w:val="FF0000"/>
          <w:sz w:val="24"/>
          <w:szCs w:val="24"/>
          <w:lang w:val="en-US" w:eastAsia="zh-CN"/>
        </w:rPr>
        <w:t>u</w:t>
      </w:r>
      <w:r>
        <w:rPr>
          <w:rFonts w:ascii="Arial" w:hAnsi="Arial" w:cs="Arial"/>
          <w:color w:val="FF0000"/>
          <w:sz w:val="24"/>
          <w:szCs w:val="24"/>
        </w:rPr>
        <w:t>t decreasing the anxiety of parents</w:t>
      </w:r>
    </w:p>
    <w:p w14:paraId="3DA3A684">
      <w:pPr>
        <w:rPr>
          <w:rFonts w:ascii="Arial" w:hAnsi="Arial" w:cs="Arial"/>
          <w:color w:val="FF0000"/>
          <w:sz w:val="22"/>
        </w:rPr>
      </w:pPr>
    </w:p>
    <w:p w14:paraId="1DBA9207">
      <w:pPr>
        <w:rPr>
          <w:rFonts w:ascii="Arial" w:hAnsi="Arial" w:cs="Arial"/>
          <w:color w:val="FF0000"/>
          <w:sz w:val="22"/>
        </w:rPr>
      </w:pPr>
    </w:p>
    <w:p w14:paraId="1733184C">
      <w:pPr>
        <w:rPr>
          <w:rFonts w:ascii="Arial" w:hAnsi="Arial" w:cs="Arial"/>
          <w:color w:val="FF0000"/>
          <w:sz w:val="22"/>
        </w:rPr>
      </w:pPr>
    </w:p>
    <w:p w14:paraId="45AF300C">
      <w:pPr>
        <w:rPr>
          <w:rFonts w:ascii="Arial" w:hAnsi="Arial" w:cs="Arial"/>
          <w:color w:val="FF0000"/>
          <w:sz w:val="22"/>
        </w:rPr>
      </w:pPr>
      <w:r>
        <w:rPr>
          <w:rFonts w:hint="eastAsia" w:ascii="Arial" w:hAnsi="Arial" w:cs="Arial"/>
          <w:color w:val="FF0000"/>
          <w:sz w:val="22"/>
          <w:lang w:val="en-US" w:eastAsia="zh-CN"/>
        </w:rPr>
        <w:t xml:space="preserve">Table 3 </w:t>
      </w:r>
      <w:r>
        <w:rPr>
          <w:rFonts w:hint="eastAsia" w:ascii="Arial" w:hAnsi="Arial" w:cs="Arial"/>
          <w:color w:val="FF0000"/>
          <w:sz w:val="22"/>
        </w:rPr>
        <w:t xml:space="preserve">Network league table of NMA for parental anxiety reduction with </w:t>
      </w:r>
      <w:r>
        <w:rPr>
          <w:rFonts w:hint="eastAsia" w:ascii="Arial" w:hAnsi="Arial" w:cs="Arial"/>
          <w:color w:val="FF0000"/>
          <w:sz w:val="22"/>
          <w:lang w:val="en-US" w:eastAsia="zh-CN"/>
        </w:rPr>
        <w:t>S</w:t>
      </w:r>
      <w:r>
        <w:rPr>
          <w:rFonts w:hint="eastAsia" w:ascii="Arial" w:hAnsi="Arial" w:cs="Arial"/>
          <w:color w:val="FF0000"/>
          <w:sz w:val="22"/>
        </w:rPr>
        <w:t>MD and 95% CrI</w:t>
      </w:r>
    </w:p>
    <w:tbl>
      <w:tblPr>
        <w:tblStyle w:val="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9"/>
        <w:gridCol w:w="1419"/>
        <w:gridCol w:w="1419"/>
        <w:gridCol w:w="1419"/>
        <w:gridCol w:w="1419"/>
        <w:gridCol w:w="1422"/>
      </w:tblGrid>
      <w:tr w14:paraId="6C9CB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6" w:hRule="atLeast"/>
        </w:trPr>
        <w:tc>
          <w:tcPr>
            <w:tcW w:w="1419" w:type="dxa"/>
            <w:tcBorders>
              <w:right w:val="single" w:color="auto" w:sz="4" w:space="0"/>
            </w:tcBorders>
            <w:vAlign w:val="center"/>
          </w:tcPr>
          <w:p w14:paraId="338A3D52">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SUCRA=76%</w:t>
            </w:r>
          </w:p>
        </w:tc>
        <w:tc>
          <w:tcPr>
            <w:tcW w:w="1419" w:type="dxa"/>
            <w:tcBorders>
              <w:top w:val="nil"/>
              <w:left w:val="single" w:color="auto" w:sz="4" w:space="0"/>
              <w:bottom w:val="single" w:color="auto" w:sz="4" w:space="0"/>
              <w:right w:val="nil"/>
            </w:tcBorders>
            <w:vAlign w:val="center"/>
          </w:tcPr>
          <w:p w14:paraId="30107484">
            <w:pPr>
              <w:jc w:val="center"/>
              <w:textAlignment w:val="center"/>
              <w:rPr>
                <w:rFonts w:ascii="Times New Roman" w:hAnsi="Times New Roman" w:eastAsia="宋体" w:cs="Times New Roman"/>
                <w:b w:val="0"/>
                <w:bCs w:val="0"/>
                <w:color w:val="FF0000"/>
                <w:kern w:val="0"/>
                <w:sz w:val="15"/>
                <w:szCs w:val="15"/>
                <w:u w:val="none"/>
                <w:vertAlign w:val="baseline"/>
                <w:lang w:bidi="ar"/>
              </w:rPr>
            </w:pPr>
          </w:p>
        </w:tc>
        <w:tc>
          <w:tcPr>
            <w:tcW w:w="1419" w:type="dxa"/>
            <w:tcBorders>
              <w:top w:val="nil"/>
              <w:left w:val="nil"/>
              <w:bottom w:val="nil"/>
              <w:right w:val="nil"/>
            </w:tcBorders>
            <w:vAlign w:val="center"/>
          </w:tcPr>
          <w:p w14:paraId="7E212172">
            <w:pPr>
              <w:jc w:val="center"/>
              <w:textAlignment w:val="center"/>
              <w:rPr>
                <w:rFonts w:ascii="Times New Roman" w:hAnsi="Times New Roman" w:eastAsia="宋体" w:cs="Times New Roman"/>
                <w:b w:val="0"/>
                <w:bCs w:val="0"/>
                <w:color w:val="FF0000"/>
                <w:kern w:val="0"/>
                <w:sz w:val="15"/>
                <w:szCs w:val="15"/>
                <w:u w:val="none"/>
                <w:vertAlign w:val="baseline"/>
                <w:lang w:bidi="ar"/>
              </w:rPr>
            </w:pPr>
          </w:p>
        </w:tc>
        <w:tc>
          <w:tcPr>
            <w:tcW w:w="1419" w:type="dxa"/>
            <w:tcBorders>
              <w:top w:val="nil"/>
              <w:left w:val="nil"/>
              <w:bottom w:val="nil"/>
              <w:right w:val="nil"/>
            </w:tcBorders>
            <w:vAlign w:val="center"/>
          </w:tcPr>
          <w:p w14:paraId="5B89B869">
            <w:pPr>
              <w:jc w:val="center"/>
              <w:textAlignment w:val="center"/>
              <w:rPr>
                <w:rFonts w:ascii="Times New Roman" w:hAnsi="Times New Roman" w:eastAsia="宋体" w:cs="Times New Roman"/>
                <w:b w:val="0"/>
                <w:bCs w:val="0"/>
                <w:color w:val="FF0000"/>
                <w:kern w:val="0"/>
                <w:sz w:val="15"/>
                <w:szCs w:val="15"/>
                <w:u w:val="none"/>
                <w:vertAlign w:val="baseline"/>
                <w:lang w:bidi="ar"/>
              </w:rPr>
            </w:pPr>
          </w:p>
        </w:tc>
        <w:tc>
          <w:tcPr>
            <w:tcW w:w="1419" w:type="dxa"/>
            <w:tcBorders>
              <w:top w:val="nil"/>
              <w:left w:val="nil"/>
              <w:bottom w:val="nil"/>
              <w:right w:val="nil"/>
            </w:tcBorders>
            <w:vAlign w:val="center"/>
          </w:tcPr>
          <w:p w14:paraId="02B46291">
            <w:pPr>
              <w:jc w:val="center"/>
              <w:textAlignment w:val="center"/>
              <w:rPr>
                <w:rFonts w:ascii="Times New Roman" w:hAnsi="Times New Roman" w:eastAsia="宋体" w:cs="Times New Roman"/>
                <w:b w:val="0"/>
                <w:bCs w:val="0"/>
                <w:color w:val="FF0000"/>
                <w:kern w:val="0"/>
                <w:sz w:val="15"/>
                <w:szCs w:val="15"/>
                <w:u w:val="none"/>
                <w:vertAlign w:val="baseline"/>
                <w:lang w:bidi="ar"/>
              </w:rPr>
            </w:pPr>
          </w:p>
        </w:tc>
        <w:tc>
          <w:tcPr>
            <w:tcW w:w="1422" w:type="dxa"/>
            <w:tcBorders>
              <w:top w:val="nil"/>
              <w:left w:val="nil"/>
              <w:bottom w:val="nil"/>
              <w:right w:val="nil"/>
            </w:tcBorders>
            <w:vAlign w:val="center"/>
          </w:tcPr>
          <w:p w14:paraId="24A07533">
            <w:pPr>
              <w:jc w:val="center"/>
              <w:textAlignment w:val="center"/>
              <w:rPr>
                <w:rFonts w:ascii="Times New Roman" w:hAnsi="Times New Roman" w:eastAsia="宋体" w:cs="Times New Roman"/>
                <w:b w:val="0"/>
                <w:bCs w:val="0"/>
                <w:color w:val="FF0000"/>
                <w:kern w:val="0"/>
                <w:sz w:val="15"/>
                <w:szCs w:val="15"/>
                <w:u w:val="none"/>
                <w:vertAlign w:val="baseline"/>
                <w:lang w:bidi="ar"/>
              </w:rPr>
            </w:pPr>
          </w:p>
        </w:tc>
      </w:tr>
      <w:tr w14:paraId="6EEDD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419" w:type="dxa"/>
            <w:vAlign w:val="center"/>
          </w:tcPr>
          <w:p w14:paraId="4669EB14">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IDI-PPIA group</w:t>
            </w:r>
          </w:p>
        </w:tc>
        <w:tc>
          <w:tcPr>
            <w:tcW w:w="1419" w:type="dxa"/>
            <w:tcBorders>
              <w:top w:val="single" w:color="auto" w:sz="4" w:space="0"/>
              <w:right w:val="single" w:color="auto" w:sz="4" w:space="0"/>
            </w:tcBorders>
            <w:vAlign w:val="center"/>
          </w:tcPr>
          <w:p w14:paraId="508AFBB2">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SUCRA=50%</w:t>
            </w:r>
          </w:p>
        </w:tc>
        <w:tc>
          <w:tcPr>
            <w:tcW w:w="1419" w:type="dxa"/>
            <w:tcBorders>
              <w:top w:val="nil"/>
              <w:left w:val="single" w:color="auto" w:sz="4" w:space="0"/>
              <w:bottom w:val="single" w:color="auto" w:sz="4" w:space="0"/>
              <w:right w:val="nil"/>
            </w:tcBorders>
            <w:vAlign w:val="center"/>
          </w:tcPr>
          <w:p w14:paraId="167DFF99">
            <w:pPr>
              <w:jc w:val="center"/>
              <w:textAlignment w:val="center"/>
              <w:rPr>
                <w:rFonts w:ascii="Times New Roman" w:hAnsi="Times New Roman" w:eastAsia="宋体" w:cs="Times New Roman"/>
                <w:b w:val="0"/>
                <w:bCs w:val="0"/>
                <w:color w:val="FF0000"/>
                <w:kern w:val="0"/>
                <w:sz w:val="15"/>
                <w:szCs w:val="15"/>
                <w:u w:val="none"/>
                <w:vertAlign w:val="baseline"/>
                <w:lang w:bidi="ar"/>
              </w:rPr>
            </w:pPr>
          </w:p>
        </w:tc>
        <w:tc>
          <w:tcPr>
            <w:tcW w:w="1419" w:type="dxa"/>
            <w:tcBorders>
              <w:top w:val="nil"/>
              <w:left w:val="nil"/>
              <w:bottom w:val="nil"/>
              <w:right w:val="nil"/>
            </w:tcBorders>
            <w:vAlign w:val="center"/>
          </w:tcPr>
          <w:p w14:paraId="70C5E1EC">
            <w:pPr>
              <w:jc w:val="center"/>
              <w:textAlignment w:val="center"/>
              <w:rPr>
                <w:rFonts w:ascii="Times New Roman" w:hAnsi="Times New Roman" w:eastAsia="宋体" w:cs="Times New Roman"/>
                <w:b w:val="0"/>
                <w:bCs w:val="0"/>
                <w:color w:val="FF0000"/>
                <w:kern w:val="0"/>
                <w:sz w:val="15"/>
                <w:szCs w:val="15"/>
                <w:u w:val="none"/>
                <w:vertAlign w:val="baseline"/>
                <w:lang w:bidi="ar"/>
              </w:rPr>
            </w:pPr>
          </w:p>
        </w:tc>
        <w:tc>
          <w:tcPr>
            <w:tcW w:w="1419" w:type="dxa"/>
            <w:tcBorders>
              <w:top w:val="nil"/>
              <w:left w:val="nil"/>
              <w:bottom w:val="nil"/>
              <w:right w:val="nil"/>
            </w:tcBorders>
            <w:vAlign w:val="center"/>
          </w:tcPr>
          <w:p w14:paraId="3857C588">
            <w:pPr>
              <w:jc w:val="center"/>
              <w:textAlignment w:val="center"/>
              <w:rPr>
                <w:rFonts w:ascii="Times New Roman" w:hAnsi="Times New Roman" w:eastAsia="宋体" w:cs="Times New Roman"/>
                <w:b w:val="0"/>
                <w:bCs w:val="0"/>
                <w:color w:val="FF0000"/>
                <w:kern w:val="0"/>
                <w:sz w:val="15"/>
                <w:szCs w:val="15"/>
                <w:u w:val="none"/>
                <w:vertAlign w:val="baseline"/>
                <w:lang w:bidi="ar"/>
              </w:rPr>
            </w:pPr>
          </w:p>
        </w:tc>
        <w:tc>
          <w:tcPr>
            <w:tcW w:w="1422" w:type="dxa"/>
            <w:tcBorders>
              <w:top w:val="nil"/>
              <w:left w:val="nil"/>
              <w:bottom w:val="nil"/>
              <w:right w:val="nil"/>
            </w:tcBorders>
            <w:vAlign w:val="center"/>
          </w:tcPr>
          <w:p w14:paraId="3B97E126">
            <w:pPr>
              <w:jc w:val="center"/>
              <w:textAlignment w:val="center"/>
              <w:rPr>
                <w:rFonts w:ascii="Times New Roman" w:hAnsi="Times New Roman" w:eastAsia="宋体" w:cs="Times New Roman"/>
                <w:b w:val="0"/>
                <w:bCs w:val="0"/>
                <w:color w:val="FF0000"/>
                <w:kern w:val="0"/>
                <w:sz w:val="15"/>
                <w:szCs w:val="15"/>
                <w:u w:val="none"/>
                <w:vertAlign w:val="baseline"/>
                <w:lang w:bidi="ar"/>
              </w:rPr>
            </w:pPr>
          </w:p>
        </w:tc>
      </w:tr>
      <w:tr w14:paraId="6D53B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419" w:type="dxa"/>
            <w:vAlign w:val="center"/>
          </w:tcPr>
          <w:p w14:paraId="6C17F310">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-0.30 (-1.65,1.05)</w:t>
            </w:r>
          </w:p>
        </w:tc>
        <w:tc>
          <w:tcPr>
            <w:tcW w:w="1419" w:type="dxa"/>
            <w:vAlign w:val="center"/>
          </w:tcPr>
          <w:p w14:paraId="3DBC83CA">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IDI group</w:t>
            </w:r>
          </w:p>
        </w:tc>
        <w:tc>
          <w:tcPr>
            <w:tcW w:w="1419" w:type="dxa"/>
            <w:tcBorders>
              <w:top w:val="single" w:color="auto" w:sz="4" w:space="0"/>
            </w:tcBorders>
            <w:vAlign w:val="center"/>
          </w:tcPr>
          <w:p w14:paraId="58DD430C">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SUCRA=49%</w:t>
            </w:r>
          </w:p>
        </w:tc>
        <w:tc>
          <w:tcPr>
            <w:tcW w:w="1419" w:type="dxa"/>
            <w:tcBorders>
              <w:top w:val="nil"/>
              <w:right w:val="nil"/>
            </w:tcBorders>
            <w:vAlign w:val="center"/>
          </w:tcPr>
          <w:p w14:paraId="027EE389">
            <w:pPr>
              <w:jc w:val="center"/>
              <w:textAlignment w:val="center"/>
              <w:rPr>
                <w:rFonts w:ascii="Times New Roman" w:hAnsi="Times New Roman" w:eastAsia="宋体" w:cs="Times New Roman"/>
                <w:b w:val="0"/>
                <w:bCs w:val="0"/>
                <w:color w:val="FF0000"/>
                <w:kern w:val="0"/>
                <w:sz w:val="15"/>
                <w:szCs w:val="15"/>
                <w:u w:val="none"/>
                <w:vertAlign w:val="baseline"/>
                <w:lang w:bidi="ar"/>
              </w:rPr>
            </w:pPr>
          </w:p>
        </w:tc>
        <w:tc>
          <w:tcPr>
            <w:tcW w:w="1419" w:type="dxa"/>
            <w:tcBorders>
              <w:top w:val="nil"/>
              <w:left w:val="nil"/>
              <w:bottom w:val="nil"/>
              <w:right w:val="nil"/>
            </w:tcBorders>
            <w:vAlign w:val="center"/>
          </w:tcPr>
          <w:p w14:paraId="019E6997">
            <w:pPr>
              <w:jc w:val="center"/>
              <w:textAlignment w:val="center"/>
              <w:rPr>
                <w:rFonts w:ascii="Times New Roman" w:hAnsi="Times New Roman" w:eastAsia="宋体" w:cs="Times New Roman"/>
                <w:b w:val="0"/>
                <w:bCs w:val="0"/>
                <w:color w:val="FF0000"/>
                <w:kern w:val="0"/>
                <w:sz w:val="15"/>
                <w:szCs w:val="15"/>
                <w:u w:val="none"/>
                <w:vertAlign w:val="baseline"/>
                <w:lang w:bidi="ar"/>
              </w:rPr>
            </w:pPr>
          </w:p>
        </w:tc>
        <w:tc>
          <w:tcPr>
            <w:tcW w:w="1422" w:type="dxa"/>
            <w:tcBorders>
              <w:top w:val="nil"/>
              <w:left w:val="nil"/>
              <w:bottom w:val="nil"/>
              <w:right w:val="nil"/>
            </w:tcBorders>
            <w:vAlign w:val="center"/>
          </w:tcPr>
          <w:p w14:paraId="28F25D8B">
            <w:pPr>
              <w:jc w:val="center"/>
              <w:textAlignment w:val="center"/>
              <w:rPr>
                <w:rFonts w:ascii="Times New Roman" w:hAnsi="Times New Roman" w:eastAsia="宋体" w:cs="Times New Roman"/>
                <w:b w:val="0"/>
                <w:bCs w:val="0"/>
                <w:color w:val="FF0000"/>
                <w:kern w:val="0"/>
                <w:sz w:val="15"/>
                <w:szCs w:val="15"/>
                <w:u w:val="none"/>
                <w:vertAlign w:val="baseline"/>
                <w:lang w:bidi="ar"/>
              </w:rPr>
            </w:pPr>
          </w:p>
        </w:tc>
      </w:tr>
      <w:tr w14:paraId="787E8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419" w:type="dxa"/>
            <w:vAlign w:val="center"/>
          </w:tcPr>
          <w:p w14:paraId="0729F6BC">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-0.34 (-1.67,0.99)</w:t>
            </w:r>
          </w:p>
        </w:tc>
        <w:tc>
          <w:tcPr>
            <w:tcW w:w="1419" w:type="dxa"/>
            <w:vAlign w:val="center"/>
          </w:tcPr>
          <w:p w14:paraId="0E8BF804">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-0.04 (-1.82,1.74)</w:t>
            </w:r>
          </w:p>
        </w:tc>
        <w:tc>
          <w:tcPr>
            <w:tcW w:w="1419" w:type="dxa"/>
            <w:vAlign w:val="center"/>
          </w:tcPr>
          <w:p w14:paraId="63CB05DA">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PDI group</w:t>
            </w:r>
          </w:p>
        </w:tc>
        <w:tc>
          <w:tcPr>
            <w:tcW w:w="1419" w:type="dxa"/>
            <w:tcBorders>
              <w:right w:val="single" w:color="auto" w:sz="4" w:space="0"/>
            </w:tcBorders>
            <w:vAlign w:val="center"/>
          </w:tcPr>
          <w:p w14:paraId="6625B034">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SUCRA=48%</w:t>
            </w:r>
          </w:p>
        </w:tc>
        <w:tc>
          <w:tcPr>
            <w:tcW w:w="1419" w:type="dxa"/>
            <w:tcBorders>
              <w:top w:val="nil"/>
              <w:left w:val="single" w:color="auto" w:sz="4" w:space="0"/>
              <w:bottom w:val="single" w:color="auto" w:sz="4" w:space="0"/>
              <w:right w:val="nil"/>
            </w:tcBorders>
            <w:vAlign w:val="center"/>
          </w:tcPr>
          <w:p w14:paraId="5B2FFA33">
            <w:pPr>
              <w:jc w:val="center"/>
              <w:textAlignment w:val="center"/>
              <w:rPr>
                <w:rFonts w:ascii="Times New Roman" w:hAnsi="Times New Roman" w:eastAsia="宋体" w:cs="Times New Roman"/>
                <w:b w:val="0"/>
                <w:bCs w:val="0"/>
                <w:color w:val="FF0000"/>
                <w:kern w:val="0"/>
                <w:sz w:val="15"/>
                <w:szCs w:val="15"/>
                <w:u w:val="none"/>
                <w:vertAlign w:val="baseline"/>
                <w:lang w:bidi="ar"/>
              </w:rPr>
            </w:pPr>
          </w:p>
        </w:tc>
        <w:tc>
          <w:tcPr>
            <w:tcW w:w="1422" w:type="dxa"/>
            <w:tcBorders>
              <w:top w:val="nil"/>
              <w:left w:val="nil"/>
              <w:bottom w:val="nil"/>
              <w:right w:val="nil"/>
            </w:tcBorders>
            <w:vAlign w:val="center"/>
          </w:tcPr>
          <w:p w14:paraId="4934E60A">
            <w:pPr>
              <w:jc w:val="center"/>
              <w:textAlignment w:val="center"/>
              <w:rPr>
                <w:rFonts w:ascii="Times New Roman" w:hAnsi="Times New Roman" w:eastAsia="宋体" w:cs="Times New Roman"/>
                <w:b w:val="0"/>
                <w:bCs w:val="0"/>
                <w:color w:val="FF0000"/>
                <w:kern w:val="0"/>
                <w:sz w:val="15"/>
                <w:szCs w:val="15"/>
                <w:u w:val="none"/>
                <w:vertAlign w:val="baseline"/>
                <w:lang w:bidi="ar"/>
              </w:rPr>
            </w:pPr>
          </w:p>
        </w:tc>
      </w:tr>
      <w:tr w14:paraId="4CE1B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419" w:type="dxa"/>
            <w:vAlign w:val="center"/>
          </w:tcPr>
          <w:p w14:paraId="2CC1CC17">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-0.35 (-1.94,1.24)</w:t>
            </w:r>
          </w:p>
        </w:tc>
        <w:tc>
          <w:tcPr>
            <w:tcW w:w="1419" w:type="dxa"/>
            <w:vAlign w:val="center"/>
          </w:tcPr>
          <w:p w14:paraId="2D271497">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-0.05 (-2.03,1.93)</w:t>
            </w:r>
          </w:p>
        </w:tc>
        <w:tc>
          <w:tcPr>
            <w:tcW w:w="1419" w:type="dxa"/>
            <w:vAlign w:val="center"/>
          </w:tcPr>
          <w:p w14:paraId="7D3AE04C">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-0.01 (-1.44,1.42)</w:t>
            </w:r>
          </w:p>
        </w:tc>
        <w:tc>
          <w:tcPr>
            <w:tcW w:w="1419" w:type="dxa"/>
            <w:vAlign w:val="center"/>
          </w:tcPr>
          <w:p w14:paraId="6CAF2515">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PDI-PPIA group</w:t>
            </w:r>
          </w:p>
        </w:tc>
        <w:tc>
          <w:tcPr>
            <w:tcW w:w="1419" w:type="dxa"/>
            <w:tcBorders>
              <w:top w:val="single" w:color="auto" w:sz="4" w:space="0"/>
            </w:tcBorders>
            <w:vAlign w:val="center"/>
          </w:tcPr>
          <w:p w14:paraId="4A8F925B">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SUCRA=46%</w:t>
            </w:r>
          </w:p>
        </w:tc>
        <w:tc>
          <w:tcPr>
            <w:tcW w:w="1422" w:type="dxa"/>
            <w:tcBorders>
              <w:top w:val="nil"/>
              <w:right w:val="nil"/>
            </w:tcBorders>
            <w:vAlign w:val="center"/>
          </w:tcPr>
          <w:p w14:paraId="3590DFB5">
            <w:pPr>
              <w:jc w:val="center"/>
              <w:textAlignment w:val="center"/>
              <w:rPr>
                <w:rFonts w:ascii="Times New Roman" w:hAnsi="Times New Roman" w:eastAsia="宋体" w:cs="Times New Roman"/>
                <w:b w:val="0"/>
                <w:bCs w:val="0"/>
                <w:color w:val="FF0000"/>
                <w:kern w:val="0"/>
                <w:sz w:val="15"/>
                <w:szCs w:val="15"/>
                <w:u w:val="none"/>
                <w:vertAlign w:val="baseline"/>
                <w:lang w:bidi="ar"/>
              </w:rPr>
            </w:pPr>
          </w:p>
        </w:tc>
      </w:tr>
      <w:tr w14:paraId="32F85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419" w:type="dxa"/>
            <w:vAlign w:val="center"/>
          </w:tcPr>
          <w:p w14:paraId="168F3390">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-0.34 (-0.97,0.29)</w:t>
            </w:r>
          </w:p>
        </w:tc>
        <w:tc>
          <w:tcPr>
            <w:tcW w:w="1419" w:type="dxa"/>
            <w:vAlign w:val="center"/>
          </w:tcPr>
          <w:p w14:paraId="265A2396">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-0.04 (-1.39,1.31)</w:t>
            </w:r>
          </w:p>
        </w:tc>
        <w:tc>
          <w:tcPr>
            <w:tcW w:w="1419" w:type="dxa"/>
            <w:vAlign w:val="center"/>
          </w:tcPr>
          <w:p w14:paraId="7C77E8CD">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8.44 (7.26,9.62)</w:t>
            </w:r>
          </w:p>
        </w:tc>
        <w:tc>
          <w:tcPr>
            <w:tcW w:w="1419" w:type="dxa"/>
            <w:vAlign w:val="center"/>
          </w:tcPr>
          <w:p w14:paraId="10BF98E9">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0.01 (-1.44,1.46)</w:t>
            </w:r>
          </w:p>
        </w:tc>
        <w:tc>
          <w:tcPr>
            <w:tcW w:w="1419" w:type="dxa"/>
            <w:vAlign w:val="center"/>
          </w:tcPr>
          <w:p w14:paraId="389B6250">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PPIA group</w:t>
            </w:r>
          </w:p>
        </w:tc>
        <w:tc>
          <w:tcPr>
            <w:tcW w:w="1422" w:type="dxa"/>
            <w:tcBorders>
              <w:bottom w:val="single" w:color="auto" w:sz="4" w:space="0"/>
              <w:right w:val="single" w:color="auto" w:sz="4" w:space="0"/>
            </w:tcBorders>
            <w:vAlign w:val="center"/>
          </w:tcPr>
          <w:p w14:paraId="6C23DFA4">
            <w:pPr>
              <w:widowControl/>
              <w:jc w:val="center"/>
              <w:textAlignment w:val="center"/>
              <w:rPr>
                <w:rFonts w:hint="default" w:ascii="Times New Roman" w:hAnsi="Times New Roman" w:eastAsia="宋体" w:cs="Times New Roman"/>
                <w:b/>
                <w:bCs/>
                <w:color w:val="FF0000"/>
                <w:kern w:val="0"/>
                <w:sz w:val="15"/>
                <w:szCs w:val="15"/>
                <w:u w:val="none"/>
                <w:vertAlign w:val="baseline"/>
                <w:lang w:eastAsia="zh-CN" w:bidi="ar"/>
              </w:rPr>
            </w:pPr>
            <w:r>
              <w:rPr>
                <w:rFonts w:hint="default" w:ascii="Times New Roman" w:hAnsi="Times New Roman" w:eastAsia="宋体" w:cs="Times New Roman"/>
                <w:b/>
                <w:bCs/>
                <w:i w:val="0"/>
                <w:iCs w:val="0"/>
                <w:color w:val="FF0000"/>
                <w:kern w:val="0"/>
                <w:sz w:val="15"/>
                <w:szCs w:val="15"/>
                <w:u w:val="none"/>
                <w:lang w:val="en-US" w:eastAsia="zh-CN" w:bidi="ar"/>
              </w:rPr>
              <w:t>SUCRA=31%</w:t>
            </w:r>
          </w:p>
        </w:tc>
      </w:tr>
      <w:tr w14:paraId="1898D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419" w:type="dxa"/>
            <w:vAlign w:val="center"/>
          </w:tcPr>
          <w:p w14:paraId="1E08BE87">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-0.57 (-1.71,0.57)</w:t>
            </w:r>
          </w:p>
        </w:tc>
        <w:tc>
          <w:tcPr>
            <w:tcW w:w="1419" w:type="dxa"/>
            <w:vAlign w:val="center"/>
          </w:tcPr>
          <w:p w14:paraId="4614CC6D">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-0.27 (-1.92,1.38)</w:t>
            </w:r>
          </w:p>
        </w:tc>
        <w:tc>
          <w:tcPr>
            <w:tcW w:w="1419" w:type="dxa"/>
            <w:vAlign w:val="center"/>
          </w:tcPr>
          <w:p w14:paraId="1FB18C36">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-0.23 (-1.41,0.95)</w:t>
            </w:r>
          </w:p>
        </w:tc>
        <w:tc>
          <w:tcPr>
            <w:tcW w:w="1419" w:type="dxa"/>
            <w:vAlign w:val="center"/>
          </w:tcPr>
          <w:p w14:paraId="77C20BDE">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-0.22 (-1.81,1.37)</w:t>
            </w:r>
          </w:p>
        </w:tc>
        <w:tc>
          <w:tcPr>
            <w:tcW w:w="1419" w:type="dxa"/>
            <w:vAlign w:val="center"/>
          </w:tcPr>
          <w:p w14:paraId="28F7EFFA">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-0.23 (-1.19,0.73)</w:t>
            </w:r>
          </w:p>
        </w:tc>
        <w:tc>
          <w:tcPr>
            <w:tcW w:w="1422" w:type="dxa"/>
            <w:tcBorders>
              <w:top w:val="single" w:color="auto" w:sz="4" w:space="0"/>
            </w:tcBorders>
            <w:vAlign w:val="center"/>
          </w:tcPr>
          <w:p w14:paraId="722CF636">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Usual care group</w:t>
            </w:r>
          </w:p>
        </w:tc>
      </w:tr>
    </w:tbl>
    <w:p w14:paraId="097C99DA">
      <w:pPr>
        <w:rPr>
          <w:rFonts w:ascii="Arial" w:hAnsi="Arial" w:cs="Arial"/>
          <w:sz w:val="24"/>
          <w:szCs w:val="24"/>
        </w:rPr>
      </w:pPr>
    </w:p>
    <w:p w14:paraId="14F08AEF">
      <w:pPr>
        <w:rPr>
          <w:rFonts w:hint="eastAsia" w:ascii="Arial" w:hAnsi="Arial" w:cs="Arial" w:eastAsiaTheme="minorEastAsia"/>
          <w:sz w:val="20"/>
          <w:szCs w:val="20"/>
          <w:lang w:eastAsia="zh-CN"/>
        </w:rPr>
      </w:pPr>
      <w:r>
        <w:rPr>
          <w:rFonts w:hint="eastAsia" w:ascii="Arial" w:hAnsi="Arial" w:cs="Arial" w:eastAsiaTheme="minorEastAsia"/>
          <w:sz w:val="20"/>
          <w:szCs w:val="20"/>
          <w:lang w:eastAsia="zh-CN"/>
        </w:rPr>
        <w:drawing>
          <wp:inline distT="0" distB="0" distL="114300" distR="114300">
            <wp:extent cx="5353685" cy="3528060"/>
            <wp:effectExtent l="0" t="0" r="0" b="0"/>
            <wp:docPr id="9" name="图片 9" descr="ICC的SU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CC的SUCRA"/>
                    <pic:cNvPicPr>
                      <a:picLocks noChangeAspect="1"/>
                    </pic:cNvPicPr>
                  </pic:nvPicPr>
                  <pic:blipFill>
                    <a:blip r:embed="rId6"/>
                    <a:srcRect t="4171" r="37818" b="38330"/>
                    <a:stretch>
                      <a:fillRect/>
                    </a:stretch>
                  </pic:blipFill>
                  <pic:spPr>
                    <a:xfrm>
                      <a:off x="0" y="0"/>
                      <a:ext cx="5353685" cy="3528060"/>
                    </a:xfrm>
                    <a:prstGeom prst="rect">
                      <a:avLst/>
                    </a:prstGeom>
                  </pic:spPr>
                </pic:pic>
              </a:graphicData>
            </a:graphic>
          </wp:inline>
        </w:drawing>
      </w:r>
    </w:p>
    <w:p w14:paraId="3D47E7B3">
      <w:pPr>
        <w:rPr>
          <w:rFonts w:hint="default" w:ascii="Arial" w:hAnsi="Arial" w:cs="Arial"/>
          <w:sz w:val="24"/>
          <w:szCs w:val="24"/>
          <w:lang w:val="en-US" w:eastAsia="zh-CN"/>
        </w:rPr>
      </w:pPr>
      <w:r>
        <w:rPr>
          <w:rFonts w:hint="eastAsia" w:ascii="Arial" w:hAnsi="Arial" w:cs="Arial"/>
          <w:sz w:val="24"/>
          <w:szCs w:val="24"/>
          <w:lang w:val="en-US" w:eastAsia="zh-CN"/>
        </w:rPr>
        <w:t>Fig.3. Network map for the comparison of different interventions about the induction compliance about children. PPIA, Parental presence during the induction of anesthesia; PDI, passive distraction intervention group; IDI, interactive distraction intervention group; IDI-PPIA, interactive distraction intervention with PPIA group; PDI-PPIA, passive distraction intervention with PPIA group.</w:t>
      </w:r>
    </w:p>
    <w:p w14:paraId="2EA9A5BC">
      <w:pPr>
        <w:rPr>
          <w:rFonts w:ascii="Arial" w:hAnsi="Arial" w:cs="Arial"/>
          <w:sz w:val="20"/>
          <w:szCs w:val="20"/>
        </w:rPr>
      </w:pPr>
    </w:p>
    <w:p w14:paraId="1E5A45A2">
      <w:pPr>
        <w:rPr>
          <w:rFonts w:ascii="Arial" w:hAnsi="Arial" w:cs="Arial"/>
          <w:sz w:val="20"/>
          <w:szCs w:val="20"/>
        </w:rPr>
      </w:pPr>
    </w:p>
    <w:p w14:paraId="3A7DACC8">
      <w:pPr>
        <w:rPr>
          <w:rFonts w:ascii="Arial" w:hAnsi="Arial" w:cs="Arial"/>
          <w:color w:val="FF0000"/>
          <w:sz w:val="20"/>
          <w:szCs w:val="20"/>
        </w:rPr>
      </w:pPr>
      <w:r>
        <w:rPr>
          <w:rFonts w:hint="eastAsia" w:ascii="Arial" w:hAnsi="Arial" w:cs="Arial"/>
          <w:color w:val="FF0000"/>
          <w:sz w:val="24"/>
          <w:szCs w:val="24"/>
          <w:lang w:val="en-US" w:eastAsia="zh-CN"/>
        </w:rPr>
        <w:t>Table.4. Network league table of NMA for children induction compliance with MD and 95% CI.</w:t>
      </w:r>
    </w:p>
    <w:tbl>
      <w:tblPr>
        <w:tblStyle w:val="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9"/>
        <w:gridCol w:w="1419"/>
        <w:gridCol w:w="1419"/>
        <w:gridCol w:w="1419"/>
        <w:gridCol w:w="1419"/>
        <w:gridCol w:w="1422"/>
      </w:tblGrid>
      <w:tr w14:paraId="64311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419" w:type="dxa"/>
            <w:tcBorders>
              <w:right w:val="single" w:color="auto" w:sz="4" w:space="0"/>
            </w:tcBorders>
            <w:vAlign w:val="center"/>
          </w:tcPr>
          <w:p w14:paraId="4BFB2D0F">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SUCRA=</w:t>
            </w:r>
            <w:r>
              <w:rPr>
                <w:rFonts w:hint="eastAsia" w:ascii="Times New Roman" w:hAnsi="Times New Roman" w:eastAsia="宋体" w:cs="Times New Roman"/>
                <w:b/>
                <w:bCs/>
                <w:i w:val="0"/>
                <w:iCs w:val="0"/>
                <w:color w:val="FF0000"/>
                <w:kern w:val="0"/>
                <w:sz w:val="15"/>
                <w:szCs w:val="15"/>
                <w:u w:val="none"/>
                <w:lang w:val="en-US" w:eastAsia="zh-CN" w:bidi="ar"/>
              </w:rPr>
              <w:t>79</w:t>
            </w:r>
            <w:r>
              <w:rPr>
                <w:rFonts w:hint="default" w:ascii="Times New Roman" w:hAnsi="Times New Roman" w:eastAsia="宋体" w:cs="Times New Roman"/>
                <w:b/>
                <w:bCs/>
                <w:i w:val="0"/>
                <w:iCs w:val="0"/>
                <w:color w:val="FF0000"/>
                <w:kern w:val="0"/>
                <w:sz w:val="15"/>
                <w:szCs w:val="15"/>
                <w:u w:val="none"/>
                <w:lang w:val="en-US" w:eastAsia="zh-CN" w:bidi="ar"/>
              </w:rPr>
              <w:t>%</w:t>
            </w:r>
          </w:p>
        </w:tc>
        <w:tc>
          <w:tcPr>
            <w:tcW w:w="1419" w:type="dxa"/>
            <w:tcBorders>
              <w:top w:val="nil"/>
              <w:left w:val="single" w:color="auto" w:sz="4" w:space="0"/>
              <w:bottom w:val="single" w:color="auto" w:sz="4" w:space="0"/>
              <w:right w:val="nil"/>
            </w:tcBorders>
            <w:vAlign w:val="center"/>
          </w:tcPr>
          <w:p w14:paraId="2D7579E1">
            <w:pPr>
              <w:widowControl/>
              <w:jc w:val="center"/>
              <w:textAlignment w:val="center"/>
              <w:rPr>
                <w:rFonts w:ascii="Times New Roman" w:hAnsi="Times New Roman" w:eastAsia="宋体" w:cs="Times New Roman"/>
                <w:b/>
                <w:bCs/>
                <w:color w:val="FF0000"/>
                <w:kern w:val="0"/>
                <w:sz w:val="15"/>
                <w:szCs w:val="15"/>
                <w:u w:val="none"/>
                <w:vertAlign w:val="baseline"/>
                <w:lang w:bidi="ar"/>
              </w:rPr>
            </w:pPr>
          </w:p>
        </w:tc>
        <w:tc>
          <w:tcPr>
            <w:tcW w:w="1419" w:type="dxa"/>
            <w:tcBorders>
              <w:top w:val="nil"/>
              <w:left w:val="nil"/>
              <w:bottom w:val="nil"/>
              <w:right w:val="nil"/>
            </w:tcBorders>
            <w:vAlign w:val="center"/>
          </w:tcPr>
          <w:p w14:paraId="02747D3C">
            <w:pPr>
              <w:widowControl/>
              <w:jc w:val="center"/>
              <w:textAlignment w:val="center"/>
              <w:rPr>
                <w:rFonts w:ascii="Times New Roman" w:hAnsi="Times New Roman" w:eastAsia="宋体" w:cs="Times New Roman"/>
                <w:b w:val="0"/>
                <w:bCs w:val="0"/>
                <w:color w:val="FF0000"/>
                <w:kern w:val="0"/>
                <w:sz w:val="15"/>
                <w:szCs w:val="15"/>
                <w:u w:val="none"/>
                <w:vertAlign w:val="baseline"/>
                <w:lang w:bidi="ar"/>
              </w:rPr>
            </w:pPr>
          </w:p>
        </w:tc>
        <w:tc>
          <w:tcPr>
            <w:tcW w:w="1419" w:type="dxa"/>
            <w:tcBorders>
              <w:top w:val="nil"/>
              <w:left w:val="nil"/>
              <w:bottom w:val="nil"/>
              <w:right w:val="nil"/>
            </w:tcBorders>
            <w:vAlign w:val="center"/>
          </w:tcPr>
          <w:p w14:paraId="1AE154B3">
            <w:pPr>
              <w:widowControl/>
              <w:jc w:val="center"/>
              <w:textAlignment w:val="center"/>
              <w:rPr>
                <w:rFonts w:ascii="Times New Roman" w:hAnsi="Times New Roman" w:eastAsia="宋体" w:cs="Times New Roman"/>
                <w:b w:val="0"/>
                <w:bCs w:val="0"/>
                <w:color w:val="FF0000"/>
                <w:kern w:val="0"/>
                <w:sz w:val="15"/>
                <w:szCs w:val="15"/>
                <w:u w:val="none"/>
                <w:vertAlign w:val="baseline"/>
                <w:lang w:bidi="ar"/>
              </w:rPr>
            </w:pPr>
          </w:p>
        </w:tc>
        <w:tc>
          <w:tcPr>
            <w:tcW w:w="1419" w:type="dxa"/>
            <w:tcBorders>
              <w:top w:val="nil"/>
              <w:left w:val="nil"/>
              <w:bottom w:val="nil"/>
              <w:right w:val="nil"/>
            </w:tcBorders>
            <w:vAlign w:val="center"/>
          </w:tcPr>
          <w:p w14:paraId="620225B3">
            <w:pPr>
              <w:widowControl/>
              <w:jc w:val="center"/>
              <w:textAlignment w:val="center"/>
              <w:rPr>
                <w:rFonts w:ascii="Times New Roman" w:hAnsi="Times New Roman" w:eastAsia="宋体" w:cs="Times New Roman"/>
                <w:b w:val="0"/>
                <w:bCs w:val="0"/>
                <w:color w:val="FF0000"/>
                <w:kern w:val="0"/>
                <w:sz w:val="15"/>
                <w:szCs w:val="15"/>
                <w:u w:val="none"/>
                <w:vertAlign w:val="baseline"/>
                <w:lang w:bidi="ar"/>
              </w:rPr>
            </w:pPr>
          </w:p>
        </w:tc>
        <w:tc>
          <w:tcPr>
            <w:tcW w:w="1422" w:type="dxa"/>
            <w:tcBorders>
              <w:top w:val="nil"/>
              <w:left w:val="nil"/>
              <w:bottom w:val="nil"/>
              <w:right w:val="nil"/>
            </w:tcBorders>
            <w:vAlign w:val="center"/>
          </w:tcPr>
          <w:p w14:paraId="25BC538B">
            <w:pPr>
              <w:widowControl/>
              <w:jc w:val="center"/>
              <w:textAlignment w:val="center"/>
              <w:rPr>
                <w:rFonts w:ascii="Times New Roman" w:hAnsi="Times New Roman" w:eastAsia="宋体" w:cs="Times New Roman"/>
                <w:b w:val="0"/>
                <w:bCs w:val="0"/>
                <w:color w:val="FF0000"/>
                <w:kern w:val="0"/>
                <w:sz w:val="15"/>
                <w:szCs w:val="15"/>
                <w:u w:val="none"/>
                <w:vertAlign w:val="baseline"/>
                <w:lang w:bidi="ar"/>
              </w:rPr>
            </w:pPr>
          </w:p>
        </w:tc>
      </w:tr>
      <w:tr w14:paraId="6EB61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419" w:type="dxa"/>
            <w:vAlign w:val="center"/>
          </w:tcPr>
          <w:p w14:paraId="179FEBDF">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PPIA group</w:t>
            </w:r>
          </w:p>
        </w:tc>
        <w:tc>
          <w:tcPr>
            <w:tcW w:w="1419" w:type="dxa"/>
            <w:tcBorders>
              <w:top w:val="single" w:color="auto" w:sz="4" w:space="0"/>
              <w:right w:val="single" w:color="auto" w:sz="4" w:space="0"/>
            </w:tcBorders>
            <w:vAlign w:val="center"/>
          </w:tcPr>
          <w:p w14:paraId="1C54F0FF">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SUCRA=</w:t>
            </w:r>
            <w:r>
              <w:rPr>
                <w:rFonts w:hint="eastAsia" w:ascii="Times New Roman" w:hAnsi="Times New Roman" w:eastAsia="宋体" w:cs="Times New Roman"/>
                <w:b/>
                <w:bCs/>
                <w:i w:val="0"/>
                <w:iCs w:val="0"/>
                <w:color w:val="FF0000"/>
                <w:kern w:val="0"/>
                <w:sz w:val="15"/>
                <w:szCs w:val="15"/>
                <w:u w:val="none"/>
                <w:lang w:val="en-US" w:eastAsia="zh-CN" w:bidi="ar"/>
              </w:rPr>
              <w:t>68</w:t>
            </w:r>
            <w:r>
              <w:rPr>
                <w:rFonts w:hint="default" w:ascii="Times New Roman" w:hAnsi="Times New Roman" w:eastAsia="宋体" w:cs="Times New Roman"/>
                <w:b/>
                <w:bCs/>
                <w:i w:val="0"/>
                <w:iCs w:val="0"/>
                <w:color w:val="FF0000"/>
                <w:kern w:val="0"/>
                <w:sz w:val="15"/>
                <w:szCs w:val="15"/>
                <w:u w:val="none"/>
                <w:lang w:val="en-US" w:eastAsia="zh-CN" w:bidi="ar"/>
              </w:rPr>
              <w:t>%</w:t>
            </w:r>
          </w:p>
        </w:tc>
        <w:tc>
          <w:tcPr>
            <w:tcW w:w="1419" w:type="dxa"/>
            <w:tcBorders>
              <w:top w:val="nil"/>
              <w:left w:val="single" w:color="auto" w:sz="4" w:space="0"/>
              <w:bottom w:val="single" w:color="auto" w:sz="4" w:space="0"/>
              <w:right w:val="nil"/>
            </w:tcBorders>
            <w:vAlign w:val="center"/>
          </w:tcPr>
          <w:p w14:paraId="4F87CE7D">
            <w:pPr>
              <w:widowControl/>
              <w:jc w:val="center"/>
              <w:textAlignment w:val="center"/>
              <w:rPr>
                <w:rFonts w:ascii="Times New Roman" w:hAnsi="Times New Roman" w:eastAsia="宋体" w:cs="Times New Roman"/>
                <w:b w:val="0"/>
                <w:bCs w:val="0"/>
                <w:color w:val="FF0000"/>
                <w:kern w:val="0"/>
                <w:sz w:val="15"/>
                <w:szCs w:val="15"/>
                <w:u w:val="none"/>
                <w:vertAlign w:val="baseline"/>
                <w:lang w:bidi="ar"/>
              </w:rPr>
            </w:pPr>
          </w:p>
        </w:tc>
        <w:tc>
          <w:tcPr>
            <w:tcW w:w="1419" w:type="dxa"/>
            <w:tcBorders>
              <w:top w:val="nil"/>
              <w:left w:val="nil"/>
              <w:bottom w:val="nil"/>
              <w:right w:val="nil"/>
            </w:tcBorders>
            <w:vAlign w:val="center"/>
          </w:tcPr>
          <w:p w14:paraId="6E0F75C3">
            <w:pPr>
              <w:widowControl/>
              <w:jc w:val="center"/>
              <w:textAlignment w:val="center"/>
              <w:rPr>
                <w:rFonts w:ascii="Times New Roman" w:hAnsi="Times New Roman" w:eastAsia="宋体" w:cs="Times New Roman"/>
                <w:b w:val="0"/>
                <w:bCs w:val="0"/>
                <w:color w:val="FF0000"/>
                <w:kern w:val="0"/>
                <w:sz w:val="15"/>
                <w:szCs w:val="15"/>
                <w:u w:val="none"/>
                <w:vertAlign w:val="baseline"/>
                <w:lang w:bidi="ar"/>
              </w:rPr>
            </w:pPr>
          </w:p>
        </w:tc>
        <w:tc>
          <w:tcPr>
            <w:tcW w:w="1419" w:type="dxa"/>
            <w:tcBorders>
              <w:top w:val="nil"/>
              <w:left w:val="nil"/>
              <w:bottom w:val="nil"/>
              <w:right w:val="nil"/>
            </w:tcBorders>
            <w:vAlign w:val="center"/>
          </w:tcPr>
          <w:p w14:paraId="02BBE346">
            <w:pPr>
              <w:widowControl/>
              <w:jc w:val="center"/>
              <w:textAlignment w:val="center"/>
              <w:rPr>
                <w:rFonts w:ascii="Times New Roman" w:hAnsi="Times New Roman" w:eastAsia="宋体" w:cs="Times New Roman"/>
                <w:b w:val="0"/>
                <w:bCs w:val="0"/>
                <w:color w:val="FF0000"/>
                <w:kern w:val="0"/>
                <w:sz w:val="15"/>
                <w:szCs w:val="15"/>
                <w:u w:val="none"/>
                <w:vertAlign w:val="baseline"/>
                <w:lang w:bidi="ar"/>
              </w:rPr>
            </w:pPr>
          </w:p>
        </w:tc>
        <w:tc>
          <w:tcPr>
            <w:tcW w:w="1422" w:type="dxa"/>
            <w:tcBorders>
              <w:top w:val="nil"/>
              <w:left w:val="nil"/>
              <w:bottom w:val="nil"/>
              <w:right w:val="nil"/>
            </w:tcBorders>
            <w:vAlign w:val="center"/>
          </w:tcPr>
          <w:p w14:paraId="59409949">
            <w:pPr>
              <w:widowControl/>
              <w:jc w:val="center"/>
              <w:textAlignment w:val="center"/>
              <w:rPr>
                <w:rFonts w:ascii="Times New Roman" w:hAnsi="Times New Roman" w:eastAsia="宋体" w:cs="Times New Roman"/>
                <w:b w:val="0"/>
                <w:bCs w:val="0"/>
                <w:color w:val="FF0000"/>
                <w:kern w:val="0"/>
                <w:sz w:val="15"/>
                <w:szCs w:val="15"/>
                <w:u w:val="none"/>
                <w:vertAlign w:val="baseline"/>
                <w:lang w:bidi="ar"/>
              </w:rPr>
            </w:pPr>
          </w:p>
        </w:tc>
      </w:tr>
      <w:tr w14:paraId="472DC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419" w:type="dxa"/>
            <w:vAlign w:val="center"/>
          </w:tcPr>
          <w:p w14:paraId="640D77B5">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-0.17 (-1.30,0.97)</w:t>
            </w:r>
          </w:p>
        </w:tc>
        <w:tc>
          <w:tcPr>
            <w:tcW w:w="1419" w:type="dxa"/>
            <w:vAlign w:val="center"/>
          </w:tcPr>
          <w:p w14:paraId="5F8AA6CB">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IDI group</w:t>
            </w:r>
          </w:p>
        </w:tc>
        <w:tc>
          <w:tcPr>
            <w:tcW w:w="1419" w:type="dxa"/>
            <w:tcBorders>
              <w:top w:val="single" w:color="auto" w:sz="4" w:space="0"/>
            </w:tcBorders>
            <w:vAlign w:val="center"/>
          </w:tcPr>
          <w:p w14:paraId="6F8DC7B1">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SUCRA=</w:t>
            </w:r>
            <w:r>
              <w:rPr>
                <w:rFonts w:hint="eastAsia" w:ascii="Times New Roman" w:hAnsi="Times New Roman" w:eastAsia="宋体" w:cs="Times New Roman"/>
                <w:b w:val="0"/>
                <w:bCs w:val="0"/>
                <w:i w:val="0"/>
                <w:iCs w:val="0"/>
                <w:color w:val="FF0000"/>
                <w:kern w:val="0"/>
                <w:sz w:val="15"/>
                <w:szCs w:val="15"/>
                <w:u w:val="none"/>
                <w:lang w:val="en-US" w:eastAsia="zh-CN" w:bidi="ar"/>
              </w:rPr>
              <w:t>61</w:t>
            </w:r>
            <w:r>
              <w:rPr>
                <w:rFonts w:hint="default" w:ascii="Times New Roman" w:hAnsi="Times New Roman" w:eastAsia="宋体" w:cs="Times New Roman"/>
                <w:b w:val="0"/>
                <w:bCs w:val="0"/>
                <w:i w:val="0"/>
                <w:iCs w:val="0"/>
                <w:color w:val="FF0000"/>
                <w:kern w:val="0"/>
                <w:sz w:val="15"/>
                <w:szCs w:val="15"/>
                <w:u w:val="none"/>
                <w:lang w:val="en-US" w:eastAsia="zh-CN" w:bidi="ar"/>
              </w:rPr>
              <w:t>%</w:t>
            </w:r>
          </w:p>
        </w:tc>
        <w:tc>
          <w:tcPr>
            <w:tcW w:w="1419" w:type="dxa"/>
            <w:tcBorders>
              <w:top w:val="nil"/>
              <w:right w:val="nil"/>
            </w:tcBorders>
            <w:vAlign w:val="center"/>
          </w:tcPr>
          <w:p w14:paraId="4FB4C565">
            <w:pPr>
              <w:widowControl/>
              <w:jc w:val="center"/>
              <w:textAlignment w:val="center"/>
              <w:rPr>
                <w:rFonts w:ascii="Times New Roman" w:hAnsi="Times New Roman" w:eastAsia="宋体" w:cs="Times New Roman"/>
                <w:b w:val="0"/>
                <w:bCs w:val="0"/>
                <w:color w:val="FF0000"/>
                <w:kern w:val="0"/>
                <w:sz w:val="15"/>
                <w:szCs w:val="15"/>
                <w:u w:val="none"/>
                <w:vertAlign w:val="baseline"/>
                <w:lang w:bidi="ar"/>
              </w:rPr>
            </w:pPr>
          </w:p>
        </w:tc>
        <w:tc>
          <w:tcPr>
            <w:tcW w:w="1419" w:type="dxa"/>
            <w:tcBorders>
              <w:top w:val="nil"/>
              <w:left w:val="nil"/>
              <w:bottom w:val="nil"/>
              <w:right w:val="nil"/>
            </w:tcBorders>
            <w:vAlign w:val="center"/>
          </w:tcPr>
          <w:p w14:paraId="2039FCD3">
            <w:pPr>
              <w:widowControl/>
              <w:jc w:val="center"/>
              <w:textAlignment w:val="center"/>
              <w:rPr>
                <w:rFonts w:ascii="Times New Roman" w:hAnsi="Times New Roman" w:eastAsia="宋体" w:cs="Times New Roman"/>
                <w:b w:val="0"/>
                <w:bCs w:val="0"/>
                <w:color w:val="FF0000"/>
                <w:kern w:val="0"/>
                <w:sz w:val="15"/>
                <w:szCs w:val="15"/>
                <w:u w:val="none"/>
                <w:vertAlign w:val="baseline"/>
                <w:lang w:bidi="ar"/>
              </w:rPr>
            </w:pPr>
          </w:p>
        </w:tc>
        <w:tc>
          <w:tcPr>
            <w:tcW w:w="1422" w:type="dxa"/>
            <w:tcBorders>
              <w:top w:val="nil"/>
              <w:left w:val="nil"/>
              <w:bottom w:val="nil"/>
              <w:right w:val="nil"/>
            </w:tcBorders>
            <w:vAlign w:val="center"/>
          </w:tcPr>
          <w:p w14:paraId="103E13A8">
            <w:pPr>
              <w:widowControl/>
              <w:jc w:val="center"/>
              <w:textAlignment w:val="center"/>
              <w:rPr>
                <w:rFonts w:ascii="Times New Roman" w:hAnsi="Times New Roman" w:eastAsia="宋体" w:cs="Times New Roman"/>
                <w:b w:val="0"/>
                <w:bCs w:val="0"/>
                <w:color w:val="FF0000"/>
                <w:kern w:val="0"/>
                <w:sz w:val="15"/>
                <w:szCs w:val="15"/>
                <w:u w:val="none"/>
                <w:vertAlign w:val="baseline"/>
                <w:lang w:bidi="ar"/>
              </w:rPr>
            </w:pPr>
          </w:p>
        </w:tc>
      </w:tr>
      <w:tr w14:paraId="71788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419" w:type="dxa"/>
            <w:vAlign w:val="center"/>
          </w:tcPr>
          <w:p w14:paraId="23EEDCF2">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-0.25 (-1.19,0.69)</w:t>
            </w:r>
          </w:p>
        </w:tc>
        <w:tc>
          <w:tcPr>
            <w:tcW w:w="1419" w:type="dxa"/>
            <w:vAlign w:val="center"/>
          </w:tcPr>
          <w:p w14:paraId="21D44389">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-0.08 (-1.56,1.39)</w:t>
            </w:r>
          </w:p>
        </w:tc>
        <w:tc>
          <w:tcPr>
            <w:tcW w:w="1419" w:type="dxa"/>
            <w:vAlign w:val="center"/>
          </w:tcPr>
          <w:p w14:paraId="02E0BBEE">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PDI-PPIA group</w:t>
            </w:r>
          </w:p>
        </w:tc>
        <w:tc>
          <w:tcPr>
            <w:tcW w:w="1419" w:type="dxa"/>
            <w:tcBorders>
              <w:right w:val="single" w:color="auto" w:sz="4" w:space="0"/>
            </w:tcBorders>
            <w:vAlign w:val="center"/>
          </w:tcPr>
          <w:p w14:paraId="1E9E6F91">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SUCRA=</w:t>
            </w:r>
            <w:r>
              <w:rPr>
                <w:rFonts w:hint="eastAsia" w:ascii="Times New Roman" w:hAnsi="Times New Roman" w:eastAsia="宋体" w:cs="Times New Roman"/>
                <w:b/>
                <w:bCs/>
                <w:i w:val="0"/>
                <w:iCs w:val="0"/>
                <w:color w:val="FF0000"/>
                <w:kern w:val="0"/>
                <w:sz w:val="15"/>
                <w:szCs w:val="15"/>
                <w:u w:val="none"/>
                <w:lang w:val="en-US" w:eastAsia="zh-CN" w:bidi="ar"/>
              </w:rPr>
              <w:t>57</w:t>
            </w:r>
            <w:r>
              <w:rPr>
                <w:rFonts w:hint="default" w:ascii="Times New Roman" w:hAnsi="Times New Roman" w:eastAsia="宋体" w:cs="Times New Roman"/>
                <w:b/>
                <w:bCs/>
                <w:i w:val="0"/>
                <w:iCs w:val="0"/>
                <w:color w:val="FF0000"/>
                <w:kern w:val="0"/>
                <w:sz w:val="15"/>
                <w:szCs w:val="15"/>
                <w:u w:val="none"/>
                <w:lang w:val="en-US" w:eastAsia="zh-CN" w:bidi="ar"/>
              </w:rPr>
              <w:t>%</w:t>
            </w:r>
          </w:p>
        </w:tc>
        <w:tc>
          <w:tcPr>
            <w:tcW w:w="1419" w:type="dxa"/>
            <w:tcBorders>
              <w:top w:val="nil"/>
              <w:left w:val="single" w:color="auto" w:sz="4" w:space="0"/>
              <w:bottom w:val="single" w:color="auto" w:sz="4" w:space="0"/>
              <w:right w:val="nil"/>
            </w:tcBorders>
            <w:vAlign w:val="center"/>
          </w:tcPr>
          <w:p w14:paraId="4EBEF1F1">
            <w:pPr>
              <w:widowControl/>
              <w:jc w:val="center"/>
              <w:textAlignment w:val="center"/>
              <w:rPr>
                <w:rFonts w:ascii="Times New Roman" w:hAnsi="Times New Roman" w:eastAsia="宋体" w:cs="Times New Roman"/>
                <w:b w:val="0"/>
                <w:bCs w:val="0"/>
                <w:color w:val="FF0000"/>
                <w:kern w:val="0"/>
                <w:sz w:val="15"/>
                <w:szCs w:val="15"/>
                <w:u w:val="none"/>
                <w:vertAlign w:val="baseline"/>
                <w:lang w:bidi="ar"/>
              </w:rPr>
            </w:pPr>
          </w:p>
        </w:tc>
        <w:tc>
          <w:tcPr>
            <w:tcW w:w="1422" w:type="dxa"/>
            <w:tcBorders>
              <w:top w:val="nil"/>
              <w:left w:val="nil"/>
              <w:bottom w:val="nil"/>
              <w:right w:val="nil"/>
            </w:tcBorders>
            <w:vAlign w:val="center"/>
          </w:tcPr>
          <w:p w14:paraId="14DD1558">
            <w:pPr>
              <w:widowControl/>
              <w:jc w:val="center"/>
              <w:textAlignment w:val="center"/>
              <w:rPr>
                <w:rFonts w:ascii="Times New Roman" w:hAnsi="Times New Roman" w:eastAsia="宋体" w:cs="Times New Roman"/>
                <w:b w:val="0"/>
                <w:bCs w:val="0"/>
                <w:color w:val="FF0000"/>
                <w:kern w:val="0"/>
                <w:sz w:val="15"/>
                <w:szCs w:val="15"/>
                <w:u w:val="none"/>
                <w:vertAlign w:val="baseline"/>
                <w:lang w:bidi="ar"/>
              </w:rPr>
            </w:pPr>
          </w:p>
        </w:tc>
      </w:tr>
      <w:tr w14:paraId="08751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419" w:type="dxa"/>
            <w:vAlign w:val="center"/>
          </w:tcPr>
          <w:p w14:paraId="5E66A802">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-0.37 (-1.64,0.89)</w:t>
            </w:r>
          </w:p>
        </w:tc>
        <w:tc>
          <w:tcPr>
            <w:tcW w:w="1419" w:type="dxa"/>
            <w:vAlign w:val="center"/>
          </w:tcPr>
          <w:p w14:paraId="636EAD78">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-0.21 (-1.63,1.21)</w:t>
            </w:r>
          </w:p>
        </w:tc>
        <w:tc>
          <w:tcPr>
            <w:tcW w:w="1419" w:type="dxa"/>
            <w:vAlign w:val="center"/>
          </w:tcPr>
          <w:p w14:paraId="30B9E15A">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-0.12 (-1.70,1.45)</w:t>
            </w:r>
          </w:p>
        </w:tc>
        <w:tc>
          <w:tcPr>
            <w:tcW w:w="1419" w:type="dxa"/>
            <w:vAlign w:val="center"/>
          </w:tcPr>
          <w:p w14:paraId="5E64DED3">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IDI-PPIA group</w:t>
            </w:r>
          </w:p>
        </w:tc>
        <w:tc>
          <w:tcPr>
            <w:tcW w:w="1419" w:type="dxa"/>
            <w:tcBorders>
              <w:top w:val="single" w:color="auto" w:sz="4" w:space="0"/>
            </w:tcBorders>
            <w:vAlign w:val="center"/>
          </w:tcPr>
          <w:p w14:paraId="13A20BA7">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SUCRA=</w:t>
            </w:r>
            <w:r>
              <w:rPr>
                <w:rFonts w:hint="eastAsia" w:ascii="Times New Roman" w:hAnsi="Times New Roman" w:eastAsia="宋体" w:cs="Times New Roman"/>
                <w:b/>
                <w:bCs/>
                <w:i w:val="0"/>
                <w:iCs w:val="0"/>
                <w:color w:val="FF0000"/>
                <w:kern w:val="0"/>
                <w:sz w:val="15"/>
                <w:szCs w:val="15"/>
                <w:u w:val="none"/>
                <w:lang w:val="en-US" w:eastAsia="zh-CN" w:bidi="ar"/>
              </w:rPr>
              <w:t>34</w:t>
            </w:r>
            <w:r>
              <w:rPr>
                <w:rFonts w:hint="default" w:ascii="Times New Roman" w:hAnsi="Times New Roman" w:eastAsia="宋体" w:cs="Times New Roman"/>
                <w:b/>
                <w:bCs/>
                <w:i w:val="0"/>
                <w:iCs w:val="0"/>
                <w:color w:val="FF0000"/>
                <w:kern w:val="0"/>
                <w:sz w:val="15"/>
                <w:szCs w:val="15"/>
                <w:u w:val="none"/>
                <w:lang w:val="en-US" w:eastAsia="zh-CN" w:bidi="ar"/>
              </w:rPr>
              <w:t>%</w:t>
            </w:r>
          </w:p>
        </w:tc>
        <w:tc>
          <w:tcPr>
            <w:tcW w:w="1422" w:type="dxa"/>
            <w:tcBorders>
              <w:top w:val="nil"/>
              <w:right w:val="nil"/>
            </w:tcBorders>
            <w:vAlign w:val="center"/>
          </w:tcPr>
          <w:p w14:paraId="65FCB656">
            <w:pPr>
              <w:widowControl/>
              <w:jc w:val="center"/>
              <w:textAlignment w:val="center"/>
              <w:rPr>
                <w:rFonts w:ascii="Times New Roman" w:hAnsi="Times New Roman" w:eastAsia="宋体" w:cs="Times New Roman"/>
                <w:b w:val="0"/>
                <w:bCs w:val="0"/>
                <w:color w:val="FF0000"/>
                <w:kern w:val="0"/>
                <w:sz w:val="15"/>
                <w:szCs w:val="15"/>
                <w:u w:val="none"/>
                <w:vertAlign w:val="baseline"/>
                <w:lang w:bidi="ar"/>
              </w:rPr>
            </w:pPr>
          </w:p>
        </w:tc>
      </w:tr>
      <w:tr w14:paraId="51508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419" w:type="dxa"/>
            <w:vAlign w:val="center"/>
          </w:tcPr>
          <w:p w14:paraId="6ED69A91">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-0.71 (-1.56,0.13)</w:t>
            </w:r>
          </w:p>
        </w:tc>
        <w:tc>
          <w:tcPr>
            <w:tcW w:w="1419" w:type="dxa"/>
            <w:vAlign w:val="center"/>
          </w:tcPr>
          <w:p w14:paraId="30F7F184">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-0.55 (-1.61,0.51)</w:t>
            </w:r>
          </w:p>
        </w:tc>
        <w:tc>
          <w:tcPr>
            <w:tcW w:w="1419" w:type="dxa"/>
            <w:vAlign w:val="center"/>
          </w:tcPr>
          <w:p w14:paraId="00A4E1B7">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-0.46 (-1.73,0.80)</w:t>
            </w:r>
          </w:p>
        </w:tc>
        <w:tc>
          <w:tcPr>
            <w:tcW w:w="1419" w:type="dxa"/>
            <w:vAlign w:val="center"/>
          </w:tcPr>
          <w:p w14:paraId="43CD07F7">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-0.34 (-1.28,0.60)</w:t>
            </w:r>
          </w:p>
        </w:tc>
        <w:tc>
          <w:tcPr>
            <w:tcW w:w="1419" w:type="dxa"/>
            <w:vAlign w:val="center"/>
          </w:tcPr>
          <w:p w14:paraId="2C345E6A">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PDI group</w:t>
            </w:r>
          </w:p>
        </w:tc>
        <w:tc>
          <w:tcPr>
            <w:tcW w:w="1422" w:type="dxa"/>
            <w:tcBorders>
              <w:bottom w:val="single" w:color="auto" w:sz="4" w:space="0"/>
              <w:right w:val="single" w:color="auto" w:sz="4" w:space="0"/>
            </w:tcBorders>
            <w:vAlign w:val="center"/>
          </w:tcPr>
          <w:p w14:paraId="0876A871">
            <w:pPr>
              <w:widowControl/>
              <w:jc w:val="center"/>
              <w:textAlignment w:val="center"/>
              <w:rPr>
                <w:rFonts w:hint="default" w:ascii="Times New Roman" w:hAnsi="Times New Roman" w:eastAsia="宋体" w:cs="Times New Roman"/>
                <w:b/>
                <w:bCs/>
                <w:color w:val="FF0000"/>
                <w:kern w:val="0"/>
                <w:sz w:val="15"/>
                <w:szCs w:val="15"/>
                <w:u w:val="none"/>
                <w:vertAlign w:val="baseline"/>
                <w:lang w:eastAsia="zh-CN" w:bidi="ar"/>
              </w:rPr>
            </w:pPr>
            <w:r>
              <w:rPr>
                <w:rFonts w:hint="default" w:ascii="Times New Roman" w:hAnsi="Times New Roman" w:eastAsia="宋体" w:cs="Times New Roman"/>
                <w:b/>
                <w:bCs/>
                <w:i w:val="0"/>
                <w:iCs w:val="0"/>
                <w:color w:val="FF0000"/>
                <w:kern w:val="0"/>
                <w:sz w:val="15"/>
                <w:szCs w:val="15"/>
                <w:u w:val="none"/>
                <w:lang w:val="en-US" w:eastAsia="zh-CN" w:bidi="ar"/>
              </w:rPr>
              <w:t>SUCRA=</w:t>
            </w:r>
            <w:r>
              <w:rPr>
                <w:rFonts w:hint="eastAsia" w:ascii="Times New Roman" w:hAnsi="Times New Roman" w:eastAsia="宋体" w:cs="Times New Roman"/>
                <w:b/>
                <w:bCs/>
                <w:i w:val="0"/>
                <w:iCs w:val="0"/>
                <w:color w:val="FF0000"/>
                <w:kern w:val="0"/>
                <w:sz w:val="15"/>
                <w:szCs w:val="15"/>
                <w:u w:val="none"/>
                <w:lang w:val="en-US" w:eastAsia="zh-CN" w:bidi="ar"/>
              </w:rPr>
              <w:t>1</w:t>
            </w:r>
            <w:r>
              <w:rPr>
                <w:rFonts w:hint="default" w:ascii="Times New Roman" w:hAnsi="Times New Roman" w:eastAsia="宋体" w:cs="Times New Roman"/>
                <w:b/>
                <w:bCs/>
                <w:i w:val="0"/>
                <w:iCs w:val="0"/>
                <w:color w:val="FF0000"/>
                <w:kern w:val="0"/>
                <w:sz w:val="15"/>
                <w:szCs w:val="15"/>
                <w:u w:val="none"/>
                <w:lang w:val="en-US" w:eastAsia="zh-CN" w:bidi="ar"/>
              </w:rPr>
              <w:t>%</w:t>
            </w:r>
          </w:p>
        </w:tc>
      </w:tr>
      <w:tr w14:paraId="4231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419" w:type="dxa"/>
            <w:vAlign w:val="center"/>
          </w:tcPr>
          <w:p w14:paraId="54E249FB">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-1.42 (-2.09,-0.76)</w:t>
            </w:r>
          </w:p>
        </w:tc>
        <w:tc>
          <w:tcPr>
            <w:tcW w:w="1419" w:type="dxa"/>
            <w:vAlign w:val="center"/>
          </w:tcPr>
          <w:p w14:paraId="689E41C0">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-0.71 (-1.24,-0.19)</w:t>
            </w:r>
          </w:p>
        </w:tc>
        <w:tc>
          <w:tcPr>
            <w:tcW w:w="1419" w:type="dxa"/>
            <w:vAlign w:val="center"/>
          </w:tcPr>
          <w:p w14:paraId="61292EA6">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0.01 (-1.41,1.42)</w:t>
            </w:r>
          </w:p>
        </w:tc>
        <w:tc>
          <w:tcPr>
            <w:tcW w:w="1419" w:type="dxa"/>
            <w:vAlign w:val="center"/>
          </w:tcPr>
          <w:p w14:paraId="798CE145">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-1.26 (-2.18,-0.34)</w:t>
            </w:r>
          </w:p>
        </w:tc>
        <w:tc>
          <w:tcPr>
            <w:tcW w:w="1419" w:type="dxa"/>
            <w:vAlign w:val="center"/>
          </w:tcPr>
          <w:p w14:paraId="46859BBD">
            <w:pPr>
              <w:keepNext w:val="0"/>
              <w:keepLines w:val="0"/>
              <w:widowControl/>
              <w:suppressLineNumbers w:val="0"/>
              <w:jc w:val="center"/>
              <w:textAlignment w:val="center"/>
              <w:rPr>
                <w:rFonts w:ascii="Times New Roman" w:hAnsi="Times New Roman" w:eastAsia="宋体" w:cs="Times New Roman"/>
                <w:b w:val="0"/>
                <w:bCs w:val="0"/>
                <w:color w:val="FF0000"/>
                <w:kern w:val="0"/>
                <w:sz w:val="15"/>
                <w:szCs w:val="15"/>
                <w:u w:val="none"/>
                <w:vertAlign w:val="baseline"/>
                <w:lang w:bidi="ar"/>
              </w:rPr>
            </w:pPr>
            <w:r>
              <w:rPr>
                <w:rFonts w:hint="default" w:ascii="Times New Roman" w:hAnsi="Times New Roman" w:eastAsia="宋体" w:cs="Times New Roman"/>
                <w:b w:val="0"/>
                <w:bCs w:val="0"/>
                <w:i w:val="0"/>
                <w:iCs w:val="0"/>
                <w:color w:val="FF0000"/>
                <w:kern w:val="0"/>
                <w:sz w:val="15"/>
                <w:szCs w:val="15"/>
                <w:u w:val="none"/>
                <w:lang w:val="en-US" w:eastAsia="zh-CN" w:bidi="ar"/>
              </w:rPr>
              <w:t>-1.21 (-2.48,0.06)</w:t>
            </w:r>
          </w:p>
        </w:tc>
        <w:tc>
          <w:tcPr>
            <w:tcW w:w="1422" w:type="dxa"/>
            <w:tcBorders>
              <w:top w:val="single" w:color="auto" w:sz="4" w:space="0"/>
            </w:tcBorders>
            <w:vAlign w:val="center"/>
          </w:tcPr>
          <w:p w14:paraId="51257EA7">
            <w:pPr>
              <w:keepNext w:val="0"/>
              <w:keepLines w:val="0"/>
              <w:widowControl/>
              <w:suppressLineNumbers w:val="0"/>
              <w:jc w:val="center"/>
              <w:textAlignment w:val="center"/>
              <w:rPr>
                <w:rFonts w:ascii="Times New Roman" w:hAnsi="Times New Roman" w:eastAsia="宋体" w:cs="Times New Roman"/>
                <w:b/>
                <w:bCs/>
                <w:color w:val="FF0000"/>
                <w:kern w:val="0"/>
                <w:sz w:val="15"/>
                <w:szCs w:val="15"/>
                <w:u w:val="none"/>
                <w:vertAlign w:val="baseline"/>
                <w:lang w:bidi="ar"/>
              </w:rPr>
            </w:pPr>
            <w:r>
              <w:rPr>
                <w:rFonts w:hint="default" w:ascii="Times New Roman" w:hAnsi="Times New Roman" w:eastAsia="宋体" w:cs="Times New Roman"/>
                <w:b/>
                <w:bCs/>
                <w:i w:val="0"/>
                <w:iCs w:val="0"/>
                <w:color w:val="FF0000"/>
                <w:kern w:val="0"/>
                <w:sz w:val="15"/>
                <w:szCs w:val="15"/>
                <w:u w:val="none"/>
                <w:lang w:val="en-US" w:eastAsia="zh-CN" w:bidi="ar"/>
              </w:rPr>
              <w:t>Usual care group</w:t>
            </w:r>
          </w:p>
        </w:tc>
      </w:tr>
    </w:tbl>
    <w:p w14:paraId="39F55CA6">
      <w:pPr>
        <w:rPr>
          <w:rFonts w:hint="eastAsia" w:eastAsiaTheme="minorEastAsia"/>
          <w:color w:val="FF0000"/>
          <w:lang w:eastAsia="zh-CN"/>
        </w:rPr>
      </w:pPr>
    </w:p>
    <w:p w14:paraId="6319F2F9">
      <w:pPr>
        <w:rPr>
          <w:rFonts w:hint="eastAsia" w:eastAsiaTheme="minorEastAsia"/>
          <w:color w:val="FF0000"/>
          <w:lang w:eastAsia="zh-CN"/>
        </w:rPr>
      </w:pPr>
    </w:p>
    <w:p w14:paraId="12C8344B">
      <w:pPr>
        <w:pStyle w:val="11"/>
        <w:bidi w:val="0"/>
        <w:ind w:left="720" w:hanging="720"/>
        <w:rPr>
          <w:rFonts w:hint="eastAsia" w:ascii="等线" w:hAnsi="等线" w:eastAsia="等线" w:cs="等线"/>
          <w:color w:val="FF0000"/>
          <w:kern w:val="2"/>
          <w:sz w:val="20"/>
          <w:szCs w:val="22"/>
          <w:lang w:val="en-US" w:eastAsia="zh-CN" w:bidi="ar-SA"/>
        </w:rPr>
      </w:pPr>
      <w:r>
        <w:rPr>
          <w:rFonts w:hint="eastAsia" w:eastAsiaTheme="minorEastAsia"/>
          <w:color w:val="FF0000"/>
          <w:lang w:eastAsia="zh-CN"/>
        </w:rPr>
        <w:fldChar w:fldCharType="begin"/>
      </w:r>
      <w:r>
        <w:rPr>
          <w:rFonts w:hint="eastAsia"/>
          <w:color w:val="FF0000"/>
          <w:lang w:eastAsia="zh-CN"/>
        </w:rPr>
        <w:instrText xml:space="preserve"> ADDIN EN.REFLIST </w:instrText>
      </w:r>
      <w:r>
        <w:rPr>
          <w:rFonts w:hint="eastAsia" w:eastAsiaTheme="minorEastAsia"/>
          <w:color w:val="FF0000"/>
          <w:lang w:eastAsia="zh-CN"/>
        </w:rPr>
        <w:fldChar w:fldCharType="separate"/>
      </w:r>
      <w:r>
        <w:rPr>
          <w:rFonts w:hint="eastAsia" w:ascii="等线" w:hAnsi="等线" w:eastAsia="等线" w:cs="等线"/>
          <w:color w:val="FF0000"/>
          <w:kern w:val="2"/>
          <w:sz w:val="20"/>
          <w:szCs w:val="22"/>
          <w:lang w:val="en-US" w:eastAsia="zh-CN" w:bidi="ar-SA"/>
        </w:rPr>
        <w:t>1.</w:t>
      </w:r>
      <w:r>
        <w:rPr>
          <w:rFonts w:hint="eastAsia" w:ascii="等线" w:hAnsi="等线" w:eastAsia="等线" w:cs="等线"/>
          <w:color w:val="FF0000"/>
          <w:kern w:val="2"/>
          <w:sz w:val="20"/>
          <w:szCs w:val="22"/>
          <w:lang w:val="en-US" w:eastAsia="zh-CN" w:bidi="ar-SA"/>
        </w:rPr>
        <w:tab/>
      </w:r>
      <w:r>
        <w:rPr>
          <w:rFonts w:hint="eastAsia" w:ascii="等线" w:hAnsi="等线" w:eastAsia="等线" w:cs="等线"/>
          <w:color w:val="FF0000"/>
          <w:kern w:val="2"/>
          <w:sz w:val="20"/>
          <w:szCs w:val="22"/>
          <w:lang w:val="en-US" w:eastAsia="zh-CN" w:bidi="ar-SA"/>
        </w:rPr>
        <w:t xml:space="preserve">S. Dias NJW, D. M. Caldwell, A. E. Ades: </w:t>
      </w:r>
      <w:r>
        <w:rPr>
          <w:rFonts w:hint="eastAsia" w:ascii="等线" w:hAnsi="等线" w:eastAsia="等线" w:cs="等线"/>
          <w:b/>
          <w:color w:val="FF0000"/>
          <w:kern w:val="2"/>
          <w:sz w:val="20"/>
          <w:szCs w:val="22"/>
          <w:lang w:val="en-US" w:eastAsia="zh-CN" w:bidi="ar-SA"/>
        </w:rPr>
        <w:t>Checking consistency in mixed treatment comparison meta-analysis</w:t>
      </w:r>
      <w:r>
        <w:rPr>
          <w:rFonts w:hint="eastAsia" w:ascii="等线" w:hAnsi="等线" w:eastAsia="等线" w:cs="等线"/>
          <w:color w:val="FF0000"/>
          <w:kern w:val="2"/>
          <w:sz w:val="20"/>
          <w:szCs w:val="22"/>
          <w:lang w:val="en-US" w:eastAsia="zh-CN" w:bidi="ar-SA"/>
        </w:rPr>
        <w:t xml:space="preserve">. </w:t>
      </w:r>
      <w:r>
        <w:rPr>
          <w:rFonts w:hint="eastAsia" w:ascii="等线" w:hAnsi="等线" w:eastAsia="等线" w:cs="等线"/>
          <w:i/>
          <w:color w:val="FF0000"/>
          <w:kern w:val="2"/>
          <w:sz w:val="20"/>
          <w:szCs w:val="22"/>
          <w:lang w:val="en-US" w:eastAsia="zh-CN" w:bidi="ar-SA"/>
        </w:rPr>
        <w:t xml:space="preserve">Statistic in medicine </w:t>
      </w:r>
      <w:r>
        <w:rPr>
          <w:rFonts w:hint="eastAsia" w:ascii="等线" w:hAnsi="等线" w:eastAsia="等线" w:cs="等线"/>
          <w:color w:val="FF0000"/>
          <w:kern w:val="2"/>
          <w:sz w:val="20"/>
          <w:szCs w:val="22"/>
          <w:lang w:val="en-US" w:eastAsia="zh-CN" w:bidi="ar-SA"/>
        </w:rPr>
        <w:t xml:space="preserve">2009, </w:t>
      </w:r>
      <w:r>
        <w:rPr>
          <w:rFonts w:hint="eastAsia" w:ascii="等线" w:hAnsi="等线" w:eastAsia="等线" w:cs="等线"/>
          <w:b/>
          <w:color w:val="FF0000"/>
          <w:kern w:val="2"/>
          <w:sz w:val="20"/>
          <w:szCs w:val="22"/>
          <w:lang w:val="en-US" w:eastAsia="zh-CN" w:bidi="ar-SA"/>
        </w:rPr>
        <w:t>29</w:t>
      </w:r>
      <w:r>
        <w:rPr>
          <w:rFonts w:hint="eastAsia" w:ascii="等线" w:hAnsi="等线" w:eastAsia="等线" w:cs="等线"/>
          <w:color w:val="FF0000"/>
          <w:kern w:val="2"/>
          <w:sz w:val="20"/>
          <w:szCs w:val="22"/>
          <w:lang w:val="en-US" w:eastAsia="zh-CN" w:bidi="ar-SA"/>
        </w:rPr>
        <w:t>:932-944.</w:t>
      </w:r>
    </w:p>
    <w:p w14:paraId="785281AE">
      <w:pPr>
        <w:pStyle w:val="11"/>
        <w:bidi w:val="0"/>
        <w:ind w:left="720" w:hanging="720"/>
        <w:rPr>
          <w:rFonts w:hint="eastAsia" w:ascii="等线" w:hAnsi="等线" w:eastAsia="等线" w:cs="等线"/>
          <w:color w:val="FF0000"/>
          <w:kern w:val="2"/>
          <w:sz w:val="20"/>
          <w:szCs w:val="22"/>
          <w:lang w:val="en-US" w:eastAsia="zh-CN" w:bidi="ar-SA"/>
        </w:rPr>
      </w:pPr>
      <w:r>
        <w:rPr>
          <w:rFonts w:hint="eastAsia" w:ascii="等线" w:hAnsi="等线" w:eastAsia="等线" w:cs="等线"/>
          <w:color w:val="FF0000"/>
          <w:kern w:val="2"/>
          <w:sz w:val="20"/>
          <w:szCs w:val="22"/>
          <w:lang w:val="en-US" w:eastAsia="zh-CN" w:bidi="ar-SA"/>
        </w:rPr>
        <w:t>2.</w:t>
      </w:r>
      <w:r>
        <w:rPr>
          <w:rFonts w:hint="eastAsia" w:ascii="等线" w:hAnsi="等线" w:eastAsia="等线" w:cs="等线"/>
          <w:color w:val="FF0000"/>
          <w:kern w:val="2"/>
          <w:sz w:val="20"/>
          <w:szCs w:val="22"/>
          <w:lang w:val="en-US" w:eastAsia="zh-CN" w:bidi="ar-SA"/>
        </w:rPr>
        <w:tab/>
      </w:r>
      <w:r>
        <w:rPr>
          <w:rFonts w:hint="eastAsia" w:ascii="等线" w:hAnsi="等线" w:eastAsia="等线" w:cs="等线"/>
          <w:color w:val="FF0000"/>
          <w:kern w:val="2"/>
          <w:sz w:val="20"/>
          <w:szCs w:val="22"/>
          <w:lang w:val="en-US" w:eastAsia="zh-CN" w:bidi="ar-SA"/>
        </w:rPr>
        <w:t xml:space="preserve">White IR, Barrett JK, Jackson D, Higgins JP: </w:t>
      </w:r>
      <w:r>
        <w:rPr>
          <w:rFonts w:hint="eastAsia" w:ascii="等线" w:hAnsi="等线" w:eastAsia="等线" w:cs="等线"/>
          <w:b/>
          <w:color w:val="FF0000"/>
          <w:kern w:val="2"/>
          <w:sz w:val="20"/>
          <w:szCs w:val="22"/>
          <w:lang w:val="en-US" w:eastAsia="zh-CN" w:bidi="ar-SA"/>
        </w:rPr>
        <w:t>Consistency and inconsistency in network meta-analysis: model estimation using multivariate meta-regression</w:t>
      </w:r>
      <w:r>
        <w:rPr>
          <w:rFonts w:hint="eastAsia" w:ascii="等线" w:hAnsi="等线" w:eastAsia="等线" w:cs="等线"/>
          <w:color w:val="FF0000"/>
          <w:kern w:val="2"/>
          <w:sz w:val="20"/>
          <w:szCs w:val="22"/>
          <w:lang w:val="en-US" w:eastAsia="zh-CN" w:bidi="ar-SA"/>
        </w:rPr>
        <w:t xml:space="preserve">. </w:t>
      </w:r>
      <w:r>
        <w:rPr>
          <w:rFonts w:hint="eastAsia" w:ascii="等线" w:hAnsi="等线" w:eastAsia="等线" w:cs="等线"/>
          <w:i/>
          <w:color w:val="FF0000"/>
          <w:kern w:val="2"/>
          <w:sz w:val="20"/>
          <w:szCs w:val="22"/>
          <w:lang w:val="en-US" w:eastAsia="zh-CN" w:bidi="ar-SA"/>
        </w:rPr>
        <w:t xml:space="preserve">Res Synth Methods </w:t>
      </w:r>
      <w:r>
        <w:rPr>
          <w:rFonts w:hint="eastAsia" w:ascii="等线" w:hAnsi="等线" w:eastAsia="等线" w:cs="等线"/>
          <w:color w:val="FF0000"/>
          <w:kern w:val="2"/>
          <w:sz w:val="20"/>
          <w:szCs w:val="22"/>
          <w:lang w:val="en-US" w:eastAsia="zh-CN" w:bidi="ar-SA"/>
        </w:rPr>
        <w:t xml:space="preserve">2012, </w:t>
      </w:r>
      <w:r>
        <w:rPr>
          <w:rFonts w:hint="eastAsia" w:ascii="等线" w:hAnsi="等线" w:eastAsia="等线" w:cs="等线"/>
          <w:b/>
          <w:color w:val="FF0000"/>
          <w:kern w:val="2"/>
          <w:sz w:val="20"/>
          <w:szCs w:val="22"/>
          <w:lang w:val="en-US" w:eastAsia="zh-CN" w:bidi="ar-SA"/>
        </w:rPr>
        <w:t>3</w:t>
      </w:r>
      <w:r>
        <w:rPr>
          <w:rFonts w:hint="eastAsia" w:ascii="等线" w:hAnsi="等线" w:eastAsia="等线" w:cs="等线"/>
          <w:color w:val="FF0000"/>
          <w:kern w:val="2"/>
          <w:sz w:val="20"/>
          <w:szCs w:val="22"/>
          <w:lang w:val="en-US" w:eastAsia="zh-CN" w:bidi="ar-SA"/>
        </w:rPr>
        <w:t>(2):111-125.</w:t>
      </w:r>
    </w:p>
    <w:p w14:paraId="046C5035">
      <w:pPr>
        <w:pStyle w:val="11"/>
        <w:bidi w:val="0"/>
        <w:ind w:left="720" w:hanging="720"/>
        <w:rPr>
          <w:rFonts w:hint="eastAsia" w:ascii="等线" w:hAnsi="等线" w:eastAsia="等线" w:cs="等线"/>
          <w:color w:val="FF0000"/>
          <w:kern w:val="2"/>
          <w:sz w:val="20"/>
          <w:szCs w:val="22"/>
          <w:lang w:val="en-US" w:eastAsia="zh-CN" w:bidi="ar-SA"/>
        </w:rPr>
      </w:pPr>
      <w:r>
        <w:rPr>
          <w:rFonts w:hint="eastAsia" w:ascii="等线" w:hAnsi="等线" w:eastAsia="等线" w:cs="等线"/>
          <w:color w:val="FF0000"/>
          <w:kern w:val="2"/>
          <w:sz w:val="20"/>
          <w:szCs w:val="22"/>
          <w:lang w:val="en-US" w:eastAsia="zh-CN" w:bidi="ar-SA"/>
        </w:rPr>
        <w:t>3.</w:t>
      </w:r>
      <w:r>
        <w:rPr>
          <w:rFonts w:hint="eastAsia" w:ascii="等线" w:hAnsi="等线" w:eastAsia="等线" w:cs="等线"/>
          <w:color w:val="FF0000"/>
          <w:kern w:val="2"/>
          <w:sz w:val="20"/>
          <w:szCs w:val="22"/>
          <w:lang w:val="en-US" w:eastAsia="zh-CN" w:bidi="ar-SA"/>
        </w:rPr>
        <w:tab/>
      </w:r>
      <w:r>
        <w:rPr>
          <w:rFonts w:hint="eastAsia" w:ascii="等线" w:hAnsi="等线" w:eastAsia="等线" w:cs="等线"/>
          <w:color w:val="FF0000"/>
          <w:kern w:val="2"/>
          <w:sz w:val="20"/>
          <w:szCs w:val="22"/>
          <w:lang w:val="en-US" w:eastAsia="zh-CN" w:bidi="ar-SA"/>
        </w:rPr>
        <w:t xml:space="preserve">Salanti G, Ades AE, Ioannidis JP: </w:t>
      </w:r>
      <w:r>
        <w:rPr>
          <w:rFonts w:hint="eastAsia" w:ascii="等线" w:hAnsi="等线" w:eastAsia="等线" w:cs="等线"/>
          <w:b/>
          <w:color w:val="FF0000"/>
          <w:kern w:val="2"/>
          <w:sz w:val="20"/>
          <w:szCs w:val="22"/>
          <w:lang w:val="en-US" w:eastAsia="zh-CN" w:bidi="ar-SA"/>
        </w:rPr>
        <w:t>Graphical methods and numerical summaries for presenting results from multiple-treatment meta-analysis: an overview and tutorial</w:t>
      </w:r>
      <w:r>
        <w:rPr>
          <w:rFonts w:hint="eastAsia" w:ascii="等线" w:hAnsi="等线" w:eastAsia="等线" w:cs="等线"/>
          <w:color w:val="FF0000"/>
          <w:kern w:val="2"/>
          <w:sz w:val="20"/>
          <w:szCs w:val="22"/>
          <w:lang w:val="en-US" w:eastAsia="zh-CN" w:bidi="ar-SA"/>
        </w:rPr>
        <w:t xml:space="preserve">. </w:t>
      </w:r>
      <w:r>
        <w:rPr>
          <w:rFonts w:hint="eastAsia" w:ascii="等线" w:hAnsi="等线" w:eastAsia="等线" w:cs="等线"/>
          <w:i/>
          <w:color w:val="FF0000"/>
          <w:kern w:val="2"/>
          <w:sz w:val="20"/>
          <w:szCs w:val="22"/>
          <w:lang w:val="en-US" w:eastAsia="zh-CN" w:bidi="ar-SA"/>
        </w:rPr>
        <w:t xml:space="preserve">J Clin Epidemiol </w:t>
      </w:r>
      <w:r>
        <w:rPr>
          <w:rFonts w:hint="eastAsia" w:ascii="等线" w:hAnsi="等线" w:eastAsia="等线" w:cs="等线"/>
          <w:color w:val="FF0000"/>
          <w:kern w:val="2"/>
          <w:sz w:val="20"/>
          <w:szCs w:val="22"/>
          <w:lang w:val="en-US" w:eastAsia="zh-CN" w:bidi="ar-SA"/>
        </w:rPr>
        <w:t xml:space="preserve">2011, </w:t>
      </w:r>
      <w:r>
        <w:rPr>
          <w:rFonts w:hint="eastAsia" w:ascii="等线" w:hAnsi="等线" w:eastAsia="等线" w:cs="等线"/>
          <w:b/>
          <w:color w:val="FF0000"/>
          <w:kern w:val="2"/>
          <w:sz w:val="20"/>
          <w:szCs w:val="22"/>
          <w:lang w:val="en-US" w:eastAsia="zh-CN" w:bidi="ar-SA"/>
        </w:rPr>
        <w:t>64</w:t>
      </w:r>
      <w:r>
        <w:rPr>
          <w:rFonts w:hint="eastAsia" w:ascii="等线" w:hAnsi="等线" w:eastAsia="等线" w:cs="等线"/>
          <w:color w:val="FF0000"/>
          <w:kern w:val="2"/>
          <w:sz w:val="20"/>
          <w:szCs w:val="22"/>
          <w:lang w:val="en-US" w:eastAsia="zh-CN" w:bidi="ar-SA"/>
        </w:rPr>
        <w:t>(2):163-171.</w:t>
      </w:r>
    </w:p>
    <w:p w14:paraId="4B4937B9">
      <w:pPr>
        <w:rPr>
          <w:rFonts w:hint="eastAsia" w:eastAsiaTheme="minorEastAsia"/>
          <w:color w:val="FF0000"/>
          <w:lang w:eastAsia="zh-CN"/>
        </w:rPr>
      </w:pPr>
      <w:r>
        <w:rPr>
          <w:rFonts w:hint="eastAsia" w:eastAsiaTheme="minorEastAsia"/>
          <w:color w:val="FF0000"/>
          <w:lang w:eastAsia="zh-CN"/>
        </w:rPr>
        <w:fldChar w:fldCharType="end"/>
      </w:r>
    </w:p>
    <w:sectPr>
      <w:pgSz w:w="11906" w:h="16838"/>
      <w:pgMar w:top="1440" w:right="1800" w:bottom="1440" w:left="1800" w:header="851" w:footer="992" w:gutter="0"/>
      <w:lnNumType w:countBy="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hideGrammaticalErrors/>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Anesthesiolog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p0dez5pg52dvpe9ptax92vhpzv0twpswwtp&quot;&gt;辅助2&lt;record-ids&gt;&lt;item&gt;2671&lt;/item&gt;&lt;item&gt;2693&lt;/item&gt;&lt;item&gt;2719&lt;/item&gt;&lt;/record-ids&gt;&lt;/item&gt;&lt;/Libraries&gt;"/>
  </w:docVars>
  <w:rsids>
    <w:rsidRoot w:val="00465D4F"/>
    <w:rsid w:val="00035ADB"/>
    <w:rsid w:val="00092BB4"/>
    <w:rsid w:val="00465D4F"/>
    <w:rsid w:val="00621C31"/>
    <w:rsid w:val="00650404"/>
    <w:rsid w:val="00651C5F"/>
    <w:rsid w:val="006D4082"/>
    <w:rsid w:val="00816EA2"/>
    <w:rsid w:val="00983519"/>
    <w:rsid w:val="00A0108B"/>
    <w:rsid w:val="00B42F41"/>
    <w:rsid w:val="00D32DF5"/>
    <w:rsid w:val="00EB7679"/>
    <w:rsid w:val="00F60948"/>
    <w:rsid w:val="01115875"/>
    <w:rsid w:val="03597303"/>
    <w:rsid w:val="06163BD1"/>
    <w:rsid w:val="08534C69"/>
    <w:rsid w:val="08DF64FD"/>
    <w:rsid w:val="091A12E3"/>
    <w:rsid w:val="09EF09C1"/>
    <w:rsid w:val="0A1B3564"/>
    <w:rsid w:val="0E3177FA"/>
    <w:rsid w:val="10FF5564"/>
    <w:rsid w:val="15714980"/>
    <w:rsid w:val="16677B31"/>
    <w:rsid w:val="19D04BFD"/>
    <w:rsid w:val="1A8B228E"/>
    <w:rsid w:val="1E0D7210"/>
    <w:rsid w:val="1E2C58E8"/>
    <w:rsid w:val="1EC41FC5"/>
    <w:rsid w:val="23971A56"/>
    <w:rsid w:val="239B0E1A"/>
    <w:rsid w:val="291B4ED7"/>
    <w:rsid w:val="2CB35427"/>
    <w:rsid w:val="2DE0224B"/>
    <w:rsid w:val="2E106892"/>
    <w:rsid w:val="2E6B420B"/>
    <w:rsid w:val="34D523DE"/>
    <w:rsid w:val="35613C72"/>
    <w:rsid w:val="392C1655"/>
    <w:rsid w:val="39FE1454"/>
    <w:rsid w:val="3E772758"/>
    <w:rsid w:val="3F3A3BF2"/>
    <w:rsid w:val="4255690C"/>
    <w:rsid w:val="44B33DBE"/>
    <w:rsid w:val="460C5E7C"/>
    <w:rsid w:val="485604B6"/>
    <w:rsid w:val="497E2648"/>
    <w:rsid w:val="4CC823D1"/>
    <w:rsid w:val="50BE4216"/>
    <w:rsid w:val="55807CEC"/>
    <w:rsid w:val="570566FB"/>
    <w:rsid w:val="58256929"/>
    <w:rsid w:val="608508AD"/>
    <w:rsid w:val="633839B4"/>
    <w:rsid w:val="652F7039"/>
    <w:rsid w:val="67421A50"/>
    <w:rsid w:val="675863D3"/>
    <w:rsid w:val="6A5F3F1C"/>
    <w:rsid w:val="6B59096C"/>
    <w:rsid w:val="6B623CC4"/>
    <w:rsid w:val="6C3311BD"/>
    <w:rsid w:val="6C7D68DC"/>
    <w:rsid w:val="728F1117"/>
    <w:rsid w:val="743D43E4"/>
    <w:rsid w:val="7480340D"/>
    <w:rsid w:val="74B44E65"/>
    <w:rsid w:val="771F2A69"/>
    <w:rsid w:val="77701517"/>
    <w:rsid w:val="7B5B428C"/>
    <w:rsid w:val="7B660618"/>
    <w:rsid w:val="7CDE2E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22"/>
    <w:rPr>
      <w:b/>
    </w:rPr>
  </w:style>
  <w:style w:type="character" w:customStyle="1" w:styleId="8">
    <w:name w:val="页眉 字符"/>
    <w:basedOn w:val="6"/>
    <w:link w:val="3"/>
    <w:qFormat/>
    <w:uiPriority w:val="99"/>
    <w:rPr>
      <w:sz w:val="18"/>
      <w:szCs w:val="18"/>
    </w:rPr>
  </w:style>
  <w:style w:type="character" w:customStyle="1" w:styleId="9">
    <w:name w:val="页脚 字符"/>
    <w:basedOn w:val="6"/>
    <w:link w:val="2"/>
    <w:qFormat/>
    <w:uiPriority w:val="99"/>
    <w:rPr>
      <w:sz w:val="18"/>
      <w:szCs w:val="18"/>
    </w:rPr>
  </w:style>
  <w:style w:type="paragraph" w:customStyle="1" w:styleId="10">
    <w:name w:val="EndNote Bibliography Title"/>
    <w:qFormat/>
    <w:uiPriority w:val="0"/>
    <w:pPr>
      <w:pBdr>
        <w:top w:val="none" w:color="auto" w:sz="0" w:space="0"/>
        <w:left w:val="none" w:color="auto" w:sz="0" w:space="0"/>
        <w:bottom w:val="none" w:color="auto" w:sz="0" w:space="0"/>
        <w:right w:val="none" w:color="auto" w:sz="0" w:space="0"/>
        <w:between w:val="none" w:color="auto" w:sz="0" w:space="0"/>
      </w:pBdr>
      <w:jc w:val="center"/>
    </w:pPr>
    <w:rPr>
      <w:rFonts w:hint="eastAsia" w:ascii="等线" w:hAnsi="等线" w:eastAsia="等线" w:cs="等线"/>
      <w:kern w:val="2"/>
      <w:sz w:val="20"/>
      <w:szCs w:val="22"/>
      <w:lang w:val="en-US" w:eastAsia="zh-CN" w:bidi="ar-SA"/>
    </w:rPr>
  </w:style>
  <w:style w:type="paragraph" w:customStyle="1" w:styleId="11">
    <w:name w:val="EndNote Bibliography"/>
    <w:qFormat/>
    <w:uiPriority w:val="0"/>
    <w:pPr>
      <w:pBdr>
        <w:top w:val="none" w:color="auto" w:sz="0" w:space="0"/>
        <w:left w:val="none" w:color="auto" w:sz="0" w:space="0"/>
        <w:bottom w:val="none" w:color="auto" w:sz="0" w:space="0"/>
        <w:right w:val="none" w:color="auto" w:sz="0" w:space="0"/>
        <w:between w:val="none" w:color="auto" w:sz="0" w:space="0"/>
      </w:pBdr>
      <w:jc w:val="both"/>
    </w:pPr>
    <w:rPr>
      <w:rFonts w:hint="eastAsia" w:ascii="等线" w:hAnsi="等线" w:eastAsia="等线" w:cs="等线"/>
      <w:kern w:val="2"/>
      <w:sz w:val="20"/>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739</Words>
  <Characters>4903</Characters>
  <Lines>14</Lines>
  <Paragraphs>4</Paragraphs>
  <TotalTime>12</TotalTime>
  <ScaleCrop>false</ScaleCrop>
  <LinksUpToDate>false</LinksUpToDate>
  <CharactersWithSpaces>5512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2022-09-18T10:08:00Z</dcterms:created>
  <dc:creator>李 圆圆</dc:creator>
  <cp:lastModifiedBy>yuan</cp:lastModifiedBy>
  <dcterms:modified xsi:type="dcterms:W3CDTF">2025-04-07T14:20:02Z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eyJoZGlkIjoiNWRiMWM2OTk0MTViNzRhYmI5MzQzZjdiMjQ1YzBmZWIiLCJ1c2VySWQiOiIyNzkzNzA5NjEifQ==</vt:lpwstr>
  </property>
  <property fmtid="{D5CDD505-2E9C-101B-9397-08002B2CF9AE}" pid="3" name="KSOProductBuildVer">
    <vt:lpwstr>2052-12.1.0.20305</vt:lpwstr>
  </property>
  <property fmtid="{D5CDD505-2E9C-101B-9397-08002B2CF9AE}" pid="4" name="ICV">
    <vt:lpwstr>336A1795325B41388EE463E16108026D_13</vt:lpwstr>
  </property>
</Properties>
</file>