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19D7A" w14:textId="77777777" w:rsidR="00DA5620" w:rsidRPr="0084783F" w:rsidRDefault="00731BFD">
      <w:pPr>
        <w:rPr>
          <w:rFonts w:ascii="Times New Roman" w:eastAsia="宋体" w:hAnsi="Times New Roman" w:cs="Times New Roman"/>
          <w:szCs w:val="22"/>
        </w:rPr>
      </w:pPr>
      <w:r w:rsidRPr="0084783F">
        <w:rPr>
          <w:rFonts w:ascii="Times New Roman" w:eastAsia="宋体" w:hAnsi="Times New Roman" w:cs="Times New Roman" w:hint="eastAsia"/>
          <w:szCs w:val="22"/>
        </w:rPr>
        <w:t xml:space="preserve">Supplemental </w:t>
      </w:r>
      <w:r w:rsidRPr="0084783F">
        <w:rPr>
          <w:rFonts w:ascii="Times New Roman" w:eastAsia="宋体" w:hAnsi="Times New Roman" w:cs="Times New Roman"/>
          <w:szCs w:val="22"/>
        </w:rPr>
        <w:t>material</w:t>
      </w:r>
    </w:p>
    <w:p w14:paraId="447A87CF" w14:textId="77777777" w:rsidR="00DA5620" w:rsidRDefault="00DA5620"/>
    <w:tbl>
      <w:tblPr>
        <w:tblStyle w:val="1"/>
        <w:tblpPr w:leftFromText="180" w:rightFromText="180" w:vertAnchor="text" w:tblpY="1"/>
        <w:tblOverlap w:val="never"/>
        <w:tblW w:w="9899" w:type="dxa"/>
        <w:tblLayout w:type="fixed"/>
        <w:tblLook w:val="04A0" w:firstRow="1" w:lastRow="0" w:firstColumn="1" w:lastColumn="0" w:noHBand="0" w:noVBand="1"/>
      </w:tblPr>
      <w:tblGrid>
        <w:gridCol w:w="853"/>
        <w:gridCol w:w="563"/>
        <w:gridCol w:w="424"/>
        <w:gridCol w:w="424"/>
        <w:gridCol w:w="142"/>
        <w:gridCol w:w="542"/>
        <w:gridCol w:w="708"/>
        <w:gridCol w:w="26"/>
        <w:gridCol w:w="627"/>
        <w:gridCol w:w="653"/>
        <w:gridCol w:w="653"/>
        <w:gridCol w:w="622"/>
        <w:gridCol w:w="31"/>
        <w:gridCol w:w="575"/>
        <w:gridCol w:w="590"/>
        <w:gridCol w:w="615"/>
        <w:gridCol w:w="615"/>
        <w:gridCol w:w="615"/>
        <w:gridCol w:w="548"/>
        <w:gridCol w:w="24"/>
        <w:gridCol w:w="49"/>
      </w:tblGrid>
      <w:tr w:rsidR="00DA5620" w14:paraId="62F03C42" w14:textId="77777777">
        <w:trPr>
          <w:gridAfter w:val="2"/>
          <w:wAfter w:w="73" w:type="dxa"/>
          <w:trHeight w:val="250"/>
        </w:trPr>
        <w:tc>
          <w:tcPr>
            <w:tcW w:w="9826" w:type="dxa"/>
            <w:gridSpan w:val="19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10C14E94" w14:textId="77777777" w:rsidR="00DA5620" w:rsidRDefault="00731BFD">
            <w:pPr>
              <w:rPr>
                <w:rFonts w:ascii="等线" w:eastAsia="等线" w:hAnsi="等线" w:cs="Times New Roman"/>
                <w:sz w:val="11"/>
                <w:szCs w:val="11"/>
              </w:rPr>
            </w:pPr>
            <w:bookmarkStart w:id="0" w:name="OLE_LINK4"/>
            <w:bookmarkStart w:id="1" w:name="_Hlk201607120"/>
            <w:r w:rsidRPr="00FB38E0">
              <w:rPr>
                <w:rFonts w:ascii="Times New Roman" w:eastAsia="宋体" w:hAnsi="Times New Roman" w:cs="Times New Roman"/>
                <w:szCs w:val="22"/>
              </w:rPr>
              <w:t>Table 1.Characteristics of the</w:t>
            </w:r>
            <w:bookmarkStart w:id="2" w:name="OLE_LINK74"/>
            <w:bookmarkStart w:id="3" w:name="OLE_LINK75"/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 included studies</w:t>
            </w:r>
            <w:bookmarkEnd w:id="0"/>
            <w:bookmarkEnd w:id="2"/>
            <w:bookmarkEnd w:id="3"/>
          </w:p>
        </w:tc>
      </w:tr>
      <w:bookmarkEnd w:id="1"/>
      <w:tr w:rsidR="00DA5620" w14:paraId="432FD047" w14:textId="77777777">
        <w:trPr>
          <w:gridAfter w:val="1"/>
          <w:wAfter w:w="49" w:type="dxa"/>
          <w:trHeight w:val="250"/>
        </w:trPr>
        <w:tc>
          <w:tcPr>
            <w:tcW w:w="8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44AE8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   </w:t>
            </w:r>
          </w:p>
          <w:p w14:paraId="26E8693B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  <w:p w14:paraId="3D19BD6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S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tudy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83B80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 </w:t>
            </w:r>
          </w:p>
          <w:p w14:paraId="1B382423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  <w:p w14:paraId="53CF17A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Year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CB195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P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atient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groups(n)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97F6D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Age(year)</w:t>
            </w:r>
          </w:p>
          <w:p w14:paraId="1CE6A1C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mean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(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SD)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DA18C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BMI(kg/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m</w:t>
            </w:r>
            <w:r>
              <w:rPr>
                <w:rFonts w:ascii="等线" w:eastAsia="等线" w:hAnsi="等线" w:cs="Times New Roman"/>
                <w:sz w:val="10"/>
                <w:szCs w:val="10"/>
                <w:vertAlign w:val="superscript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)</w:t>
            </w:r>
          </w:p>
          <w:p w14:paraId="07F4717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mean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S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D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0C0E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Gender</w:t>
            </w:r>
          </w:p>
          <w:p w14:paraId="62E581B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male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36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ADFF82" w14:textId="77777777" w:rsidR="00DA5620" w:rsidRDefault="00731BFD">
            <w:pPr>
              <w:ind w:firstLineChars="1300" w:firstLine="1300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Physical status</w:t>
            </w:r>
          </w:p>
        </w:tc>
      </w:tr>
      <w:tr w:rsidR="00DA5620" w14:paraId="7DE22AD6" w14:textId="77777777">
        <w:trPr>
          <w:trHeight w:val="491"/>
        </w:trPr>
        <w:tc>
          <w:tcPr>
            <w:tcW w:w="8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561A86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443B48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A3004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F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ICB</w:t>
            </w:r>
          </w:p>
        </w:tc>
        <w:tc>
          <w:tcPr>
            <w:tcW w:w="5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4DF2A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Control</w:t>
            </w:r>
          </w:p>
        </w:tc>
        <w:tc>
          <w:tcPr>
            <w:tcW w:w="5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62516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     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F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ICB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DA7FE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   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C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ontrol</w:t>
            </w:r>
          </w:p>
        </w:tc>
        <w:tc>
          <w:tcPr>
            <w:tcW w:w="6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6917A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    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F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ICB</w:t>
            </w:r>
          </w:p>
        </w:tc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BC787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  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C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ontrol</w:t>
            </w:r>
          </w:p>
        </w:tc>
        <w:tc>
          <w:tcPr>
            <w:tcW w:w="65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666C8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    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F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ICB</w:t>
            </w:r>
          </w:p>
          <w:p w14:paraId="155E8EA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N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%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92553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   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C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ontrol</w:t>
            </w:r>
          </w:p>
          <w:p w14:paraId="73DBBE3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N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%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D871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A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SA 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Ⅰ</w:t>
            </w:r>
          </w:p>
          <w:p w14:paraId="17D47D4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N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%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6292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A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SA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Ⅱ</w:t>
            </w:r>
          </w:p>
          <w:p w14:paraId="2BF50D9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N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 xml:space="preserve">(%)  </w:t>
            </w:r>
          </w:p>
        </w:tc>
        <w:tc>
          <w:tcPr>
            <w:tcW w:w="1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17269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A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SA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Ⅲ</w:t>
            </w:r>
          </w:p>
          <w:p w14:paraId="5A2FFBF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N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(%)</w:t>
            </w:r>
          </w:p>
        </w:tc>
      </w:tr>
      <w:tr w:rsidR="00DA5620" w14:paraId="30FFD7F5" w14:textId="77777777">
        <w:trPr>
          <w:trHeight w:val="317"/>
        </w:trPr>
        <w:tc>
          <w:tcPr>
            <w:tcW w:w="8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25A76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5517C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4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3DC1C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004C0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54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306C7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7CFA4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65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5AE22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602E0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931E2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65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B4ACB" w14:textId="77777777" w:rsidR="00DA5620" w:rsidRDefault="00DA5620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1479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FICB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3E01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Control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8BEB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FICB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88CC0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Control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894F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FICB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46BE5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Control</w:t>
            </w:r>
          </w:p>
        </w:tc>
      </w:tr>
      <w:tr w:rsidR="00DA5620" w14:paraId="3685916E" w14:textId="77777777">
        <w:trPr>
          <w:trHeight w:val="317"/>
        </w:trPr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0CA42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Stevens et al.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13C7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007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956B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0111F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</w:tc>
        <w:tc>
          <w:tcPr>
            <w:tcW w:w="6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19DB0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8.7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9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4C09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6.8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9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.1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8E006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B35B3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BE61E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</w:p>
          <w:p w14:paraId="5FBEEBD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(68.2)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6A091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</w:t>
            </w:r>
          </w:p>
          <w:p w14:paraId="10EBB8D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E986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</w:p>
          <w:p w14:paraId="36CA474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1DDCD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</w:p>
          <w:p w14:paraId="59AE00B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E59C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</w:t>
            </w:r>
          </w:p>
          <w:p w14:paraId="55A7E7D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(52)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5D8D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  <w:p w14:paraId="350C1FE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(55)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31719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</w:p>
          <w:p w14:paraId="5CDF3A9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(33)</w:t>
            </w:r>
          </w:p>
        </w:tc>
        <w:tc>
          <w:tcPr>
            <w:tcW w:w="6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7AE6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</w:p>
          <w:p w14:paraId="3F4AE02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(23)</w:t>
            </w:r>
          </w:p>
        </w:tc>
      </w:tr>
      <w:tr w:rsidR="00DA5620" w14:paraId="4BDBC088" w14:textId="77777777">
        <w:trPr>
          <w:trHeight w:val="32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3D29065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Shariat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69E45E1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013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78F989B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18242B2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79D7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</w:t>
            </w:r>
          </w:p>
          <w:p w14:paraId="5981414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EB18F6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7</w:t>
            </w:r>
          </w:p>
          <w:p w14:paraId="0CD7BAD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6873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  <w:p w14:paraId="201E380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42581F5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  <w:p w14:paraId="49B7FCD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326AA31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7</w:t>
            </w:r>
          </w:p>
          <w:p w14:paraId="3FFF4F9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3.8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C5FF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8</w:t>
            </w:r>
          </w:p>
          <w:p w14:paraId="4A197A7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E7BFFD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0613E34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44030FC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44804DB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0931F67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C9FC2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</w:tr>
      <w:tr w:rsidR="00DA5620" w14:paraId="0D9BB4B3" w14:textId="77777777">
        <w:trPr>
          <w:trHeight w:val="317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4876031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Deniz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26243F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014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ED6C2D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FFE414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ADB9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3.1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968174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2.2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3.7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52320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4155D63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1508B5A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  <w:p w14:paraId="0A2CC8A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B002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  <w:p w14:paraId="6DE2465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CB2486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  <w:p w14:paraId="7E90A9E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(60)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0ED2E0E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</w:p>
          <w:p w14:paraId="4B09E92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(25)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56439AE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</w:p>
          <w:p w14:paraId="7A9B2A5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(30)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2DB37CC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  <w:p w14:paraId="59C6DB3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(50)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3CD4058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</w:p>
          <w:p w14:paraId="2CE3CE6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(10)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72032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</w:p>
          <w:p w14:paraId="42F0092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(25)</w:t>
            </w:r>
          </w:p>
        </w:tc>
      </w:tr>
      <w:tr w:rsidR="00DA5620" w14:paraId="6271B8DD" w14:textId="77777777">
        <w:trPr>
          <w:trHeight w:val="317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296FEBD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Bang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45B7E63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016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B075B3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24423BC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BCDA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8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1.6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.1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60D7EC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8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  <w:p w14:paraId="6EC4419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.1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6619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0.6</w:t>
            </w:r>
          </w:p>
          <w:p w14:paraId="47AB401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0FC58E0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2.7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8E6E28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</w:p>
          <w:p w14:paraId="3C8C7D0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5.5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458C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</w:p>
          <w:p w14:paraId="5FEF3DE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825F4B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0</w:t>
            </w:r>
          </w:p>
          <w:p w14:paraId="632A2D1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64104A6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0</w:t>
            </w:r>
          </w:p>
          <w:p w14:paraId="60025D9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(0)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55CCD7A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9</w:t>
            </w:r>
          </w:p>
          <w:p w14:paraId="2E79CFD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(81.8)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226A74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9</w:t>
            </w:r>
          </w:p>
          <w:p w14:paraId="6FECD9A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(90)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6C680EE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</w:p>
          <w:p w14:paraId="6F1179C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(18.2)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79C5D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</w:p>
          <w:p w14:paraId="36A7E7B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(10)</w:t>
            </w:r>
          </w:p>
        </w:tc>
      </w:tr>
      <w:tr w:rsidR="00DA5620" w14:paraId="179FB536" w14:textId="77777777">
        <w:trPr>
          <w:trHeight w:val="32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3FCDDE8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Desmet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57DE147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017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7DC4010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6367732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99FA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0.4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0.8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62F50A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6.5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2.4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6790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7.3</w:t>
            </w:r>
          </w:p>
          <w:p w14:paraId="14CDD15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36E4E19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7.3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05AFB97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3.3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B195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4.2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4B81C4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6621014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B3A801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2E51E6C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70E242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8D9BD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</w:tr>
      <w:tr w:rsidR="00DA5620" w14:paraId="0CE2ECA9" w14:textId="77777777">
        <w:trPr>
          <w:trHeight w:val="32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64F79E0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Bober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A75477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020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50441F9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9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607C988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4677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1.9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932BDD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3.6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A9B8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7E1C83F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700A94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8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7.5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AC1F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</w:p>
          <w:p w14:paraId="1D9FEAE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B03BFB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79DFA05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317B61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0FB0C9D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0C3C669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38AA1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</w:tr>
      <w:tr w:rsidR="00DA5620" w14:paraId="29ECDEA9" w14:textId="77777777">
        <w:trPr>
          <w:trHeight w:val="32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789DC5D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bookmarkStart w:id="4" w:name="OLE_LINK13"/>
            <w:bookmarkStart w:id="5" w:name="OLE_LINK12"/>
            <w:r>
              <w:rPr>
                <w:rFonts w:ascii="等线" w:eastAsia="等线" w:hAnsi="等线" w:cs="Times New Roman"/>
                <w:sz w:val="10"/>
                <w:szCs w:val="10"/>
              </w:rPr>
              <w:t>Liu et al.</w:t>
            </w:r>
            <w:bookmarkEnd w:id="4"/>
            <w:bookmarkEnd w:id="5"/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57BCB18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020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7CF2BCB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073F89D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69A7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0.05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.52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BAFF5D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  <w:p w14:paraId="3877C8B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.69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C25D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3.24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.13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782491A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3.05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.89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DF3B63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</w:t>
            </w:r>
          </w:p>
          <w:p w14:paraId="79A3199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A01D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4.1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5DC44C8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4EB880D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7341E2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4574F09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323FB75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6850B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</w:tr>
      <w:tr w:rsidR="00DA5620" w14:paraId="5DF92F74" w14:textId="77777777">
        <w:trPr>
          <w:trHeight w:val="426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7F26C7F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Song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DD349D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020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7DC5A76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22B33D5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5B57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63</w:t>
            </w:r>
          </w:p>
          <w:p w14:paraId="7A501F5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(4.12)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ECEA5B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61</w:t>
            </w:r>
          </w:p>
          <w:p w14:paraId="08B8535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(4.35)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2262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A5F193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1D57F5E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27</w:t>
            </w:r>
          </w:p>
          <w:p w14:paraId="52826AD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(54)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9FA4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24</w:t>
            </w:r>
          </w:p>
          <w:p w14:paraId="61140BE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(48)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591A668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64DC244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6C69A75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2C44A63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60AA6DD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45B33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</w:tr>
      <w:tr w:rsidR="00DA5620" w14:paraId="4DDEF83E" w14:textId="77777777">
        <w:trPr>
          <w:trHeight w:val="32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3B9E534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Gola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43EC9D7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021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676272B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6D7BA0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9BAA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</w:p>
          <w:p w14:paraId="594A4D0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27A779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</w:p>
          <w:p w14:paraId="7F499D9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062C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7</w:t>
            </w:r>
          </w:p>
          <w:p w14:paraId="4949745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2200C22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8.1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122489B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</w:t>
            </w:r>
          </w:p>
          <w:p w14:paraId="1EC3F28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BA54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  <w:p w14:paraId="3140107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01C3D11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5039138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38AE25E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</w:t>
            </w:r>
          </w:p>
          <w:p w14:paraId="0BF0672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(46)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20B14BE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</w:p>
          <w:p w14:paraId="4CB8F05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(68)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6DE9589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7</w:t>
            </w:r>
          </w:p>
          <w:p w14:paraId="2BF8F6B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(54)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1DC48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</w:t>
            </w:r>
          </w:p>
          <w:p w14:paraId="5609B7D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(32)</w:t>
            </w:r>
          </w:p>
        </w:tc>
      </w:tr>
      <w:tr w:rsidR="00DA5620" w14:paraId="4BD6373F" w14:textId="77777777">
        <w:trPr>
          <w:trHeight w:val="97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7DE6386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Carella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40E345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022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2FF9AEC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18B2568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ED4F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1.85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A2C994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0.74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08C8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5.95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.67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0C1B4A0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6.59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.74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0DF35FC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8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1.9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AE5DD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4.9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5851CC7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</w:p>
          <w:p w14:paraId="551D5A7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(4.7)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6223E59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</w:p>
          <w:p w14:paraId="162B965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(2.3)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2133623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</w:p>
          <w:p w14:paraId="4B4AE2C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(81.4)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2EB5C4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</w:p>
          <w:p w14:paraId="6A4054D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(81.4)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4104247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</w:p>
          <w:p w14:paraId="56F7809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(14)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0DADE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</w:p>
          <w:p w14:paraId="57D61AFD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(16.3)</w:t>
            </w:r>
          </w:p>
        </w:tc>
      </w:tr>
      <w:tr w:rsidR="00DA5620" w14:paraId="5EE8EEED" w14:textId="77777777" w:rsidTr="00CC4878">
        <w:trPr>
          <w:trHeight w:val="320"/>
        </w:trPr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</w:tcPr>
          <w:p w14:paraId="741255D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Chen et al.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E73C66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A908C7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566A23C6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B3BA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.93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B5C052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</w:t>
            </w:r>
          </w:p>
          <w:p w14:paraId="343F803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8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.15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5A06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2.64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.6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55878FF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2.12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.09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14:paraId="4CABF7C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5.6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DDC2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8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0.9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52044B0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0</w:t>
            </w:r>
          </w:p>
          <w:p w14:paraId="09BEB9CA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74EA2BFC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0</w:t>
            </w:r>
          </w:p>
          <w:p w14:paraId="56A645D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(0)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43D1A36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</w:t>
            </w:r>
          </w:p>
          <w:p w14:paraId="5C770BB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(68.9)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5E08A4F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1</w:t>
            </w:r>
          </w:p>
          <w:p w14:paraId="0CADC13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(70.5)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00DA563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4</w:t>
            </w:r>
          </w:p>
          <w:p w14:paraId="532B344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(31.1)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818AFF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</w:t>
            </w:r>
          </w:p>
          <w:p w14:paraId="73BE199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/>
                <w:sz w:val="10"/>
                <w:szCs w:val="10"/>
              </w:rPr>
              <w:t>(29.5)</w:t>
            </w:r>
          </w:p>
        </w:tc>
      </w:tr>
      <w:tr w:rsidR="00DA5620" w14:paraId="25886F95" w14:textId="77777777">
        <w:trPr>
          <w:trHeight w:val="320"/>
        </w:trPr>
        <w:tc>
          <w:tcPr>
            <w:tcW w:w="85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922ED1D" w14:textId="77777777" w:rsidR="00DA5620" w:rsidRDefault="00731BFD">
            <w:pPr>
              <w:rPr>
                <w:rFonts w:ascii="等线" w:eastAsia="等线" w:hAnsi="等线" w:cs="Times New Roman"/>
                <w:sz w:val="10"/>
                <w:szCs w:val="10"/>
              </w:rPr>
            </w:pPr>
            <w:bookmarkStart w:id="6" w:name="OLE_LINK15"/>
            <w:bookmarkStart w:id="7" w:name="OLE_LINK14"/>
            <w:r>
              <w:rPr>
                <w:rFonts w:ascii="等线" w:eastAsia="等线" w:hAnsi="等线" w:cs="Times New Roman"/>
                <w:sz w:val="10"/>
                <w:szCs w:val="10"/>
              </w:rPr>
              <w:t>Safa et al.</w:t>
            </w:r>
            <w:bookmarkEnd w:id="6"/>
            <w:bookmarkEnd w:id="7"/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BEF4468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024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5201F92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6</w:t>
            </w:r>
          </w:p>
        </w:tc>
        <w:tc>
          <w:tcPr>
            <w:tcW w:w="42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C68236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7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223919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3.9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1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0.9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9963AC3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6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5.2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9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358EE9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8.7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.2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5C5964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9.3</w:t>
            </w:r>
          </w:p>
          <w:p w14:paraId="68222A6E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1C2B09B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2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7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4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0.9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65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4FDDA57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3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（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5</w:t>
            </w:r>
            <w:r>
              <w:rPr>
                <w:rFonts w:ascii="等线" w:eastAsia="等线" w:hAnsi="等线" w:cs="Times New Roman"/>
                <w:sz w:val="10"/>
                <w:szCs w:val="10"/>
              </w:rPr>
              <w:t>2.2</w:t>
            </w: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）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9ADFFA5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33524B9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8CEA78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AFC8841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5040CA4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  <w:tc>
          <w:tcPr>
            <w:tcW w:w="62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765C020" w14:textId="77777777" w:rsidR="00DA5620" w:rsidRDefault="00731BFD">
            <w:pPr>
              <w:jc w:val="center"/>
              <w:rPr>
                <w:rFonts w:ascii="等线" w:eastAsia="等线" w:hAnsi="等线" w:cs="Times New Roman"/>
                <w:sz w:val="10"/>
                <w:szCs w:val="10"/>
              </w:rPr>
            </w:pPr>
            <w:r>
              <w:rPr>
                <w:rFonts w:ascii="等线" w:eastAsia="等线" w:hAnsi="等线" w:cs="Times New Roman" w:hint="eastAsia"/>
                <w:sz w:val="10"/>
                <w:szCs w:val="10"/>
              </w:rPr>
              <w:t>/</w:t>
            </w:r>
          </w:p>
        </w:tc>
      </w:tr>
    </w:tbl>
    <w:p w14:paraId="0D4C3363" w14:textId="77777777" w:rsidR="00DA5620" w:rsidRPr="00A479C2" w:rsidRDefault="00731BFD">
      <w:pPr>
        <w:rPr>
          <w:rFonts w:ascii="Times New Roman" w:eastAsia="宋体" w:hAnsi="Times New Roman" w:cs="Times New Roman"/>
          <w:szCs w:val="22"/>
        </w:rPr>
      </w:pPr>
      <w:r w:rsidRPr="00A479C2">
        <w:rPr>
          <w:rFonts w:ascii="Times New Roman" w:eastAsia="宋体" w:hAnsi="Times New Roman" w:cs="Times New Roman"/>
          <w:szCs w:val="22"/>
        </w:rPr>
        <w:t>FICB: fascia iliaca compartment block SD:</w:t>
      </w:r>
      <w:r w:rsidRPr="00A479C2">
        <w:rPr>
          <w:rFonts w:ascii="Times New Roman" w:eastAsia="宋体" w:hAnsi="Times New Roman" w:cs="Times New Roman"/>
          <w:szCs w:val="22"/>
        </w:rPr>
        <w:t xml:space="preserve"> standrd deviation </w:t>
      </w:r>
      <w:r w:rsidRPr="00A479C2">
        <w:rPr>
          <w:rFonts w:ascii="Times New Roman" w:eastAsia="宋体" w:hAnsi="Times New Roman" w:cs="Times New Roman"/>
          <w:szCs w:val="22"/>
        </w:rPr>
        <w:t>BMI:</w:t>
      </w:r>
      <w:r w:rsidRPr="00A479C2">
        <w:rPr>
          <w:rFonts w:ascii="Times New Roman" w:eastAsia="宋体" w:hAnsi="Times New Roman" w:cs="Times New Roman"/>
          <w:szCs w:val="22"/>
        </w:rPr>
        <w:t xml:space="preserve"> </w:t>
      </w:r>
      <w:r w:rsidRPr="00A479C2">
        <w:rPr>
          <w:rFonts w:ascii="Times New Roman" w:eastAsia="宋体" w:hAnsi="Times New Roman" w:cs="Times New Roman"/>
          <w:szCs w:val="22"/>
        </w:rPr>
        <w:t>Body Mass Index ASA:</w:t>
      </w:r>
      <w:r w:rsidRPr="00A479C2">
        <w:rPr>
          <w:rFonts w:ascii="Times New Roman" w:eastAsia="宋体" w:hAnsi="Times New Roman" w:cs="Times New Roman"/>
          <w:szCs w:val="22"/>
        </w:rPr>
        <w:t xml:space="preserve"> </w:t>
      </w:r>
      <w:r w:rsidRPr="00A479C2">
        <w:rPr>
          <w:rFonts w:ascii="Times New Roman" w:eastAsia="宋体" w:hAnsi="Times New Roman" w:cs="Times New Roman"/>
          <w:szCs w:val="22"/>
        </w:rPr>
        <w:t>American Standards Association</w:t>
      </w:r>
    </w:p>
    <w:p w14:paraId="29222693" w14:textId="77777777" w:rsidR="00DA5620" w:rsidRDefault="00DA5620"/>
    <w:tbl>
      <w:tblPr>
        <w:tblStyle w:val="a7"/>
        <w:tblW w:w="95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276"/>
        <w:gridCol w:w="6838"/>
      </w:tblGrid>
      <w:tr w:rsidR="00DA5620" w14:paraId="717C6358" w14:textId="77777777">
        <w:trPr>
          <w:trHeight w:val="311"/>
        </w:trPr>
        <w:tc>
          <w:tcPr>
            <w:tcW w:w="9527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4457A5B1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Table 2.Summary of perioperative analgesia strategies</w:t>
            </w:r>
          </w:p>
        </w:tc>
      </w:tr>
      <w:tr w:rsidR="00DA5620" w14:paraId="2B49F03A" w14:textId="77777777">
        <w:trPr>
          <w:trHeight w:val="411"/>
        </w:trPr>
        <w:tc>
          <w:tcPr>
            <w:tcW w:w="1413" w:type="dxa"/>
            <w:tcBorders>
              <w:top w:val="single" w:sz="8" w:space="0" w:color="auto"/>
              <w:bottom w:val="single" w:sz="8" w:space="0" w:color="auto"/>
            </w:tcBorders>
          </w:tcPr>
          <w:p w14:paraId="55D5BEFB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S</w:t>
            </w: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tudy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14:paraId="040C7BE7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y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ear</w:t>
            </w:r>
          </w:p>
        </w:tc>
        <w:tc>
          <w:tcPr>
            <w:tcW w:w="6838" w:type="dxa"/>
            <w:tcBorders>
              <w:top w:val="single" w:sz="8" w:space="0" w:color="auto"/>
              <w:bottom w:val="single" w:sz="8" w:space="0" w:color="auto"/>
            </w:tcBorders>
          </w:tcPr>
          <w:p w14:paraId="6DFA02CA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Summary of Perioperative analgesia strategies</w:t>
            </w:r>
          </w:p>
        </w:tc>
      </w:tr>
      <w:tr w:rsidR="00DA5620" w14:paraId="431F7BEC" w14:textId="77777777">
        <w:trPr>
          <w:trHeight w:val="416"/>
        </w:trPr>
        <w:tc>
          <w:tcPr>
            <w:tcW w:w="1413" w:type="dxa"/>
            <w:tcBorders>
              <w:top w:val="single" w:sz="8" w:space="0" w:color="auto"/>
            </w:tcBorders>
          </w:tcPr>
          <w:p w14:paraId="4E91A9D3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Stevens et al.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452CEBCD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007</w:t>
            </w:r>
          </w:p>
        </w:tc>
        <w:tc>
          <w:tcPr>
            <w:tcW w:w="6838" w:type="dxa"/>
            <w:tcBorders>
              <w:top w:val="single" w:sz="8" w:space="0" w:color="auto"/>
            </w:tcBorders>
          </w:tcPr>
          <w:p w14:paraId="675F03BE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patient-controlled analgesia ith intravenous morphine was commenced (no ackground infusion, no additives, bolus 1 mg,lockout five minutes). No NSAIDs, codeine or other opioids were give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n in the first 24 hours.</w:t>
            </w:r>
          </w:p>
        </w:tc>
      </w:tr>
      <w:tr w:rsidR="00DA5620" w14:paraId="301C670E" w14:textId="77777777">
        <w:trPr>
          <w:trHeight w:val="1124"/>
        </w:trPr>
        <w:tc>
          <w:tcPr>
            <w:tcW w:w="1413" w:type="dxa"/>
          </w:tcPr>
          <w:p w14:paraId="29E1D5CB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Shariat et al.</w:t>
            </w:r>
          </w:p>
        </w:tc>
        <w:tc>
          <w:tcPr>
            <w:tcW w:w="1276" w:type="dxa"/>
          </w:tcPr>
          <w:p w14:paraId="57D3840B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013</w:t>
            </w:r>
          </w:p>
        </w:tc>
        <w:tc>
          <w:tcPr>
            <w:tcW w:w="6838" w:type="dxa"/>
          </w:tcPr>
          <w:p w14:paraId="687D75C8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Fentanyl was the only opioid used intraoperatively. they self-administered morphine IV PCA for pain (1.5 mg morphine sulfate every 6 minutes, maximum 4-hour dose 20 mg, no continuous infusion)</w:t>
            </w:r>
          </w:p>
        </w:tc>
      </w:tr>
      <w:tr w:rsidR="00DA5620" w14:paraId="266825B1" w14:textId="77777777">
        <w:trPr>
          <w:trHeight w:val="1126"/>
        </w:trPr>
        <w:tc>
          <w:tcPr>
            <w:tcW w:w="1413" w:type="dxa"/>
          </w:tcPr>
          <w:p w14:paraId="4CAA3F0E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lastRenderedPageBreak/>
              <w:t>Deniz et al.</w:t>
            </w:r>
          </w:p>
        </w:tc>
        <w:tc>
          <w:tcPr>
            <w:tcW w:w="1276" w:type="dxa"/>
          </w:tcPr>
          <w:p w14:paraId="3A41D40D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014</w:t>
            </w:r>
          </w:p>
        </w:tc>
        <w:tc>
          <w:tcPr>
            <w:tcW w:w="6838" w:type="dxa"/>
          </w:tcPr>
          <w:p w14:paraId="0A70DA02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Fentanyl 1 </w:t>
            </w: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µ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g kg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-1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, 20mg tenoxicam and 1 mg kg-1 tramadol, PCA(tramadol 5 mg ml-1 concentration, 20 mg of bolus, 30 minutes of lock time, 150 mg limit for 4 hours and total dose of 500 mg)</w:t>
            </w:r>
          </w:p>
        </w:tc>
      </w:tr>
      <w:tr w:rsidR="00DA5620" w14:paraId="552BB89A" w14:textId="77777777">
        <w:trPr>
          <w:trHeight w:val="1397"/>
        </w:trPr>
        <w:tc>
          <w:tcPr>
            <w:tcW w:w="1413" w:type="dxa"/>
          </w:tcPr>
          <w:p w14:paraId="047ABC2A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Bang et al.</w:t>
            </w:r>
          </w:p>
        </w:tc>
        <w:tc>
          <w:tcPr>
            <w:tcW w:w="1276" w:type="dxa"/>
          </w:tcPr>
          <w:p w14:paraId="739147F5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016</w:t>
            </w:r>
          </w:p>
        </w:tc>
        <w:tc>
          <w:tcPr>
            <w:tcW w:w="6838" w:type="dxa"/>
          </w:tcPr>
          <w:p w14:paraId="278284C1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intravenous tramadol 25mg was prescribed as a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 rescue analgesia, oral celecoxib 200mg twice daily for 7 days after surgery, The PCA was programmed to deliver a bolus dose of 0.5ugkg-1,without background infusion, with a lockout of 7minutes, and a 4-hour limit of 4 ugkg-1</w:t>
            </w:r>
          </w:p>
        </w:tc>
      </w:tr>
      <w:tr w:rsidR="00DA5620" w14:paraId="32083283" w14:textId="77777777">
        <w:trPr>
          <w:trHeight w:val="1133"/>
        </w:trPr>
        <w:tc>
          <w:tcPr>
            <w:tcW w:w="1413" w:type="dxa"/>
          </w:tcPr>
          <w:p w14:paraId="0164ABFF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Desmet et al.</w:t>
            </w:r>
          </w:p>
        </w:tc>
        <w:tc>
          <w:tcPr>
            <w:tcW w:w="1276" w:type="dxa"/>
          </w:tcPr>
          <w:p w14:paraId="0E26F7BC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017</w:t>
            </w:r>
          </w:p>
        </w:tc>
        <w:tc>
          <w:tcPr>
            <w:tcW w:w="6838" w:type="dxa"/>
          </w:tcPr>
          <w:p w14:paraId="07FA8D37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Paracetamo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l (1 g IV every 6 hours) and diclofenac (75 mg IV every 12 hours), PCA with morphine sulphate (bolus only mode, bolus 1.5 mg, lockout 6 minutes, maximal dose 20 mg/4 hours</w:t>
            </w:r>
          </w:p>
        </w:tc>
      </w:tr>
      <w:tr w:rsidR="00DA5620" w14:paraId="403C244A" w14:textId="77777777">
        <w:trPr>
          <w:trHeight w:val="1121"/>
        </w:trPr>
        <w:tc>
          <w:tcPr>
            <w:tcW w:w="1413" w:type="dxa"/>
          </w:tcPr>
          <w:p w14:paraId="0BC2CB32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Bober et al.</w:t>
            </w:r>
          </w:p>
        </w:tc>
        <w:tc>
          <w:tcPr>
            <w:tcW w:w="1276" w:type="dxa"/>
          </w:tcPr>
          <w:p w14:paraId="4AF9E699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020</w:t>
            </w:r>
          </w:p>
        </w:tc>
        <w:tc>
          <w:tcPr>
            <w:tcW w:w="6838" w:type="dxa"/>
          </w:tcPr>
          <w:p w14:paraId="70106694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scheduled acetaminophen and celecoxib, moderate and severe pain :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 oxycodone (5-15mg) and IV morphine (2-4mg), severe pain: tramadol (50mg), hydrocodone-acetaminophen (5-10 mg), and IV hydromorphone (0.5-1mg)</w:t>
            </w:r>
          </w:p>
        </w:tc>
      </w:tr>
      <w:tr w:rsidR="00DA5620" w14:paraId="62092642" w14:textId="77777777">
        <w:trPr>
          <w:trHeight w:val="1690"/>
        </w:trPr>
        <w:tc>
          <w:tcPr>
            <w:tcW w:w="1413" w:type="dxa"/>
          </w:tcPr>
          <w:p w14:paraId="0955D9A5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Liu et al.</w:t>
            </w:r>
          </w:p>
        </w:tc>
        <w:tc>
          <w:tcPr>
            <w:tcW w:w="1276" w:type="dxa"/>
          </w:tcPr>
          <w:p w14:paraId="3D8B3F6C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020</w:t>
            </w:r>
          </w:p>
        </w:tc>
        <w:tc>
          <w:tcPr>
            <w:tcW w:w="6838" w:type="dxa"/>
          </w:tcPr>
          <w:p w14:paraId="220CD9B8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All patients received PCA containing 0.12% bupivacaine + sufentanil citrate of 0.02 </w:t>
            </w: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μ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g/kg/h, whi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ch were dissolved in 150 ml of normal saline.The single dose of PCA was limited to 1 ml, with a continuous infusion rate 4 ml/h, and the drug locking time was set to 15 min.</w:t>
            </w:r>
          </w:p>
        </w:tc>
      </w:tr>
      <w:tr w:rsidR="00DA5620" w14:paraId="74683986" w14:textId="77777777">
        <w:trPr>
          <w:trHeight w:val="304"/>
        </w:trPr>
        <w:tc>
          <w:tcPr>
            <w:tcW w:w="1413" w:type="dxa"/>
          </w:tcPr>
          <w:p w14:paraId="0691A0BC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Song et al.</w:t>
            </w:r>
          </w:p>
        </w:tc>
        <w:tc>
          <w:tcPr>
            <w:tcW w:w="1276" w:type="dxa"/>
          </w:tcPr>
          <w:p w14:paraId="1BD007DE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020</w:t>
            </w:r>
          </w:p>
        </w:tc>
        <w:tc>
          <w:tcPr>
            <w:tcW w:w="6838" w:type="dxa"/>
          </w:tcPr>
          <w:p w14:paraId="16CA92A3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u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nclear</w:t>
            </w:r>
          </w:p>
        </w:tc>
      </w:tr>
      <w:tr w:rsidR="00DA5620" w14:paraId="7992F342" w14:textId="77777777">
        <w:trPr>
          <w:trHeight w:val="2542"/>
        </w:trPr>
        <w:tc>
          <w:tcPr>
            <w:tcW w:w="1413" w:type="dxa"/>
          </w:tcPr>
          <w:p w14:paraId="5D73C05D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Gola et al.</w:t>
            </w:r>
          </w:p>
        </w:tc>
        <w:tc>
          <w:tcPr>
            <w:tcW w:w="1276" w:type="dxa"/>
          </w:tcPr>
          <w:p w14:paraId="3CA7A533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021</w:t>
            </w:r>
          </w:p>
        </w:tc>
        <w:tc>
          <w:tcPr>
            <w:tcW w:w="6838" w:type="dxa"/>
          </w:tcPr>
          <w:p w14:paraId="06796135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oral paracetamol at 500 mg, oral 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metamizole at 500 mg, and oral pregabalin at 75 mg an hour before the procedure. oxycodone in the PCA system with a bolus of 1 mg and a 10-min lock-out.In the first 24 h after surgery: IV paracetamol at 1 g every 6 h, IV metamizole at 1 g every 6h, and ora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l pregabalin at 75 mg once a day. Oral oxycodone at 10 mg every 12 h was included on the first postoperative day in the evening. On day 2 and subsequent postoperative days, the patients received oral paracetamol at 500 mg every 6 h, oral metamizole at 500 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mg every 6 h, and oral pregabalin at 75 mg once daily.</w:t>
            </w:r>
          </w:p>
        </w:tc>
      </w:tr>
      <w:tr w:rsidR="00DA5620" w14:paraId="798C6456" w14:textId="77777777">
        <w:trPr>
          <w:trHeight w:val="1373"/>
        </w:trPr>
        <w:tc>
          <w:tcPr>
            <w:tcW w:w="1413" w:type="dxa"/>
          </w:tcPr>
          <w:p w14:paraId="61D25A6C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Carella et al.</w:t>
            </w:r>
          </w:p>
        </w:tc>
        <w:tc>
          <w:tcPr>
            <w:tcW w:w="1276" w:type="dxa"/>
          </w:tcPr>
          <w:p w14:paraId="5DE3BAB2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022</w:t>
            </w:r>
          </w:p>
        </w:tc>
        <w:tc>
          <w:tcPr>
            <w:tcW w:w="6838" w:type="dxa"/>
          </w:tcPr>
          <w:p w14:paraId="047E3A3A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A PCA device was provided to all patients, containing a 0.2% morphine solution and connected in parallel to the intravenous line. The PCA parameters were 1 mg boluses, 5 min 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refractory time, and a maximum administration over 4 hours that cannot exceed 20 mg of total IV morphine.</w:t>
            </w:r>
          </w:p>
        </w:tc>
      </w:tr>
      <w:tr w:rsidR="00DA5620" w14:paraId="3ACD665F" w14:textId="77777777">
        <w:trPr>
          <w:trHeight w:val="304"/>
        </w:trPr>
        <w:tc>
          <w:tcPr>
            <w:tcW w:w="1413" w:type="dxa"/>
          </w:tcPr>
          <w:p w14:paraId="19F229F6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Chen et al.</w:t>
            </w:r>
          </w:p>
        </w:tc>
        <w:tc>
          <w:tcPr>
            <w:tcW w:w="1276" w:type="dxa"/>
          </w:tcPr>
          <w:p w14:paraId="7A407970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023</w:t>
            </w:r>
          </w:p>
        </w:tc>
        <w:tc>
          <w:tcPr>
            <w:tcW w:w="6838" w:type="dxa"/>
          </w:tcPr>
          <w:p w14:paraId="167FAAF0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u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nclear</w:t>
            </w:r>
          </w:p>
        </w:tc>
      </w:tr>
      <w:tr w:rsidR="00DA5620" w14:paraId="427A1620" w14:textId="77777777">
        <w:trPr>
          <w:trHeight w:val="1692"/>
        </w:trPr>
        <w:tc>
          <w:tcPr>
            <w:tcW w:w="1413" w:type="dxa"/>
            <w:tcBorders>
              <w:bottom w:val="single" w:sz="8" w:space="0" w:color="auto"/>
            </w:tcBorders>
          </w:tcPr>
          <w:p w14:paraId="576753EE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>Safa et al.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14:paraId="320BC36E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 w:hint="eastAsia"/>
                <w:szCs w:val="22"/>
              </w:rPr>
              <w:t>2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024</w:t>
            </w:r>
          </w:p>
        </w:tc>
        <w:tc>
          <w:tcPr>
            <w:tcW w:w="6838" w:type="dxa"/>
            <w:tcBorders>
              <w:bottom w:val="single" w:sz="8" w:space="0" w:color="auto"/>
            </w:tcBorders>
          </w:tcPr>
          <w:p w14:paraId="08551101" w14:textId="77777777" w:rsidR="00DA5620" w:rsidRPr="00FB38E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FB38E0">
              <w:rPr>
                <w:rFonts w:ascii="Times New Roman" w:eastAsia="宋体" w:hAnsi="Times New Roman" w:cs="Times New Roman"/>
                <w:szCs w:val="22"/>
              </w:rPr>
              <w:t xml:space="preserve">oral paracetamol 1 g p.o., celecoxib 400 mg p.o., and gabapentin 400 mg p.o. 1-2h before the operation. </w:t>
            </w:r>
            <w:r w:rsidRPr="00FB38E0">
              <w:rPr>
                <w:rFonts w:ascii="Times New Roman" w:eastAsia="宋体" w:hAnsi="Times New Roman" w:cs="Times New Roman"/>
                <w:szCs w:val="22"/>
              </w:rPr>
              <w:t>The postoperative analgesic regimen included paracetamol 1 g p.o. every 6 h, hydromorphone controlled release 3 mg p.o. every 8 h, and celecoxib 200 mg p.o. every 12 h. I.V. PCA (hydromorphone 0.2 mg; lockout interval of 5 min)</w:t>
            </w:r>
          </w:p>
        </w:tc>
      </w:tr>
    </w:tbl>
    <w:p w14:paraId="7650F80E" w14:textId="77777777" w:rsidR="00DA5620" w:rsidRPr="00A479C2" w:rsidRDefault="00731BFD">
      <w:pPr>
        <w:rPr>
          <w:rFonts w:ascii="Times New Roman" w:eastAsia="宋体" w:hAnsi="Times New Roman" w:cs="Times New Roman"/>
          <w:szCs w:val="22"/>
        </w:rPr>
      </w:pPr>
      <w:r w:rsidRPr="00A479C2">
        <w:rPr>
          <w:rFonts w:ascii="Times New Roman" w:eastAsia="宋体" w:hAnsi="Times New Roman" w:cs="Times New Roman" w:hint="eastAsia"/>
          <w:szCs w:val="22"/>
        </w:rPr>
        <w:t>P</w:t>
      </w:r>
      <w:r w:rsidRPr="00A479C2">
        <w:rPr>
          <w:rFonts w:ascii="Times New Roman" w:eastAsia="宋体" w:hAnsi="Times New Roman" w:cs="Times New Roman"/>
          <w:szCs w:val="22"/>
        </w:rPr>
        <w:t>CA: patient-controlled ana</w:t>
      </w:r>
      <w:r w:rsidRPr="00A479C2">
        <w:rPr>
          <w:rFonts w:ascii="Times New Roman" w:eastAsia="宋体" w:hAnsi="Times New Roman" w:cs="Times New Roman"/>
          <w:szCs w:val="22"/>
        </w:rPr>
        <w:t xml:space="preserve">lgesia </w:t>
      </w:r>
    </w:p>
    <w:p w14:paraId="2994D623" w14:textId="77777777" w:rsidR="00DA5620" w:rsidRDefault="00DA5620"/>
    <w:p w14:paraId="619DA6FA" w14:textId="2DBE77BF" w:rsidR="00DA5620" w:rsidRDefault="00731BFD">
      <w:pPr>
        <w:rPr>
          <w:color w:val="FF0000"/>
        </w:rPr>
      </w:pPr>
      <w:bookmarkStart w:id="8" w:name="_GoBack"/>
      <w:r w:rsidRPr="00504ED6">
        <w:rPr>
          <w:rFonts w:ascii="Times New Roman" w:eastAsia="宋体" w:hAnsi="Times New Roman" w:cs="Times New Roman"/>
          <w:szCs w:val="22"/>
        </w:rPr>
        <w:t>Table 3. Additional subgroup analyses</w:t>
      </w:r>
      <w:bookmarkEnd w:id="8"/>
      <w:r>
        <w:rPr>
          <w:rFonts w:hint="eastAsia"/>
          <w:color w:val="FF0000"/>
        </w:rPr>
        <w:t xml:space="preserve"> </w:t>
      </w:r>
    </w:p>
    <w:tbl>
      <w:tblPr>
        <w:tblStyle w:val="a7"/>
        <w:tblW w:w="8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5"/>
        <w:gridCol w:w="2329"/>
        <w:gridCol w:w="1189"/>
        <w:gridCol w:w="1439"/>
      </w:tblGrid>
      <w:tr w:rsidR="00DA5620" w14:paraId="5F6638D1" w14:textId="77777777" w:rsidTr="00CC4878">
        <w:trPr>
          <w:trHeight w:val="365"/>
        </w:trPr>
        <w:tc>
          <w:tcPr>
            <w:tcW w:w="3355" w:type="dxa"/>
            <w:tcBorders>
              <w:top w:val="single" w:sz="6" w:space="0" w:color="auto"/>
              <w:bottom w:val="single" w:sz="6" w:space="0" w:color="auto"/>
            </w:tcBorders>
          </w:tcPr>
          <w:p w14:paraId="781BB91B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lastRenderedPageBreak/>
              <w:t>S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ubgroup</w:t>
            </w:r>
          </w:p>
        </w:tc>
        <w:tc>
          <w:tcPr>
            <w:tcW w:w="2329" w:type="dxa"/>
            <w:tcBorders>
              <w:top w:val="single" w:sz="6" w:space="0" w:color="auto"/>
              <w:bottom w:val="single" w:sz="6" w:space="0" w:color="auto"/>
            </w:tcBorders>
          </w:tcPr>
          <w:p w14:paraId="5A993D6A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M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D(95% CI)</w:t>
            </w:r>
          </w:p>
        </w:tc>
        <w:tc>
          <w:tcPr>
            <w:tcW w:w="1189" w:type="dxa"/>
            <w:tcBorders>
              <w:top w:val="single" w:sz="6" w:space="0" w:color="auto"/>
              <w:bottom w:val="single" w:sz="6" w:space="0" w:color="auto"/>
            </w:tcBorders>
          </w:tcPr>
          <w:p w14:paraId="43D5E80B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I</w:t>
            </w:r>
            <w:r w:rsidRPr="00F42B1D">
              <w:rPr>
                <w:rFonts w:ascii="Times New Roman" w:eastAsia="宋体" w:hAnsi="Times New Roman" w:cs="Times New Roman"/>
                <w:szCs w:val="22"/>
                <w:vertAlign w:val="superscript"/>
              </w:rPr>
              <w:t>2</w:t>
            </w:r>
          </w:p>
        </w:tc>
        <w:tc>
          <w:tcPr>
            <w:tcW w:w="1439" w:type="dxa"/>
            <w:tcBorders>
              <w:top w:val="single" w:sz="6" w:space="0" w:color="auto"/>
              <w:bottom w:val="single" w:sz="6" w:space="0" w:color="auto"/>
            </w:tcBorders>
          </w:tcPr>
          <w:p w14:paraId="0033D45A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P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-subgroup</w:t>
            </w:r>
          </w:p>
        </w:tc>
      </w:tr>
      <w:tr w:rsidR="00DA5620" w14:paraId="4F7956E9" w14:textId="77777777" w:rsidTr="00CC4878">
        <w:trPr>
          <w:trHeight w:val="181"/>
        </w:trPr>
        <w:tc>
          <w:tcPr>
            <w:tcW w:w="3355" w:type="dxa"/>
            <w:tcBorders>
              <w:top w:val="single" w:sz="6" w:space="0" w:color="auto"/>
            </w:tcBorders>
          </w:tcPr>
          <w:p w14:paraId="6F9E85A3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local anesthetic</w:t>
            </w:r>
          </w:p>
        </w:tc>
        <w:tc>
          <w:tcPr>
            <w:tcW w:w="2329" w:type="dxa"/>
            <w:tcBorders>
              <w:top w:val="single" w:sz="6" w:space="0" w:color="auto"/>
            </w:tcBorders>
          </w:tcPr>
          <w:p w14:paraId="2F79B308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189" w:type="dxa"/>
            <w:tcBorders>
              <w:top w:val="single" w:sz="6" w:space="0" w:color="auto"/>
            </w:tcBorders>
          </w:tcPr>
          <w:p w14:paraId="6AD5F446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439" w:type="dxa"/>
            <w:tcBorders>
              <w:top w:val="single" w:sz="6" w:space="0" w:color="auto"/>
            </w:tcBorders>
          </w:tcPr>
          <w:p w14:paraId="2D090E60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7D72F912" w14:textId="77777777" w:rsidTr="00CC4878">
        <w:trPr>
          <w:trHeight w:val="181"/>
        </w:trPr>
        <w:tc>
          <w:tcPr>
            <w:tcW w:w="3355" w:type="dxa"/>
          </w:tcPr>
          <w:p w14:paraId="7D0800E8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type</w:t>
            </w:r>
          </w:p>
        </w:tc>
        <w:tc>
          <w:tcPr>
            <w:tcW w:w="2329" w:type="dxa"/>
          </w:tcPr>
          <w:p w14:paraId="3717C36F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 xml:space="preserve"> </w:t>
            </w:r>
          </w:p>
        </w:tc>
        <w:tc>
          <w:tcPr>
            <w:tcW w:w="1189" w:type="dxa"/>
          </w:tcPr>
          <w:p w14:paraId="25B15C9B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 xml:space="preserve"> </w:t>
            </w:r>
          </w:p>
        </w:tc>
        <w:tc>
          <w:tcPr>
            <w:tcW w:w="1439" w:type="dxa"/>
          </w:tcPr>
          <w:p w14:paraId="203A73A3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 xml:space="preserve"> 0.4</w:t>
            </w:r>
          </w:p>
        </w:tc>
      </w:tr>
      <w:tr w:rsidR="00DA5620" w14:paraId="717B724E" w14:textId="77777777" w:rsidTr="00CC4878">
        <w:trPr>
          <w:trHeight w:val="181"/>
        </w:trPr>
        <w:tc>
          <w:tcPr>
            <w:tcW w:w="3355" w:type="dxa"/>
          </w:tcPr>
          <w:p w14:paraId="3ECA24F8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Ropivacaine</w:t>
            </w:r>
          </w:p>
        </w:tc>
        <w:tc>
          <w:tcPr>
            <w:tcW w:w="2329" w:type="dxa"/>
          </w:tcPr>
          <w:p w14:paraId="6BF91AA1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7.62(-11.38,-3.85)</w:t>
            </w:r>
          </w:p>
        </w:tc>
        <w:tc>
          <w:tcPr>
            <w:tcW w:w="1189" w:type="dxa"/>
          </w:tcPr>
          <w:p w14:paraId="4E7F78D7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8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3%</w:t>
            </w:r>
          </w:p>
        </w:tc>
        <w:tc>
          <w:tcPr>
            <w:tcW w:w="1439" w:type="dxa"/>
          </w:tcPr>
          <w:p w14:paraId="0B4BAEBE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2B819AF8" w14:textId="77777777" w:rsidTr="00CC4878">
        <w:trPr>
          <w:trHeight w:val="181"/>
        </w:trPr>
        <w:tc>
          <w:tcPr>
            <w:tcW w:w="3355" w:type="dxa"/>
          </w:tcPr>
          <w:p w14:paraId="27DD1EE3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Bupivacaine</w:t>
            </w:r>
          </w:p>
        </w:tc>
        <w:tc>
          <w:tcPr>
            <w:tcW w:w="2329" w:type="dxa"/>
          </w:tcPr>
          <w:p w14:paraId="68F6AA60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11.40(-19.29,-3.50)</w:t>
            </w:r>
          </w:p>
        </w:tc>
        <w:tc>
          <w:tcPr>
            <w:tcW w:w="1189" w:type="dxa"/>
          </w:tcPr>
          <w:p w14:paraId="59F322C1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68%</w:t>
            </w:r>
          </w:p>
        </w:tc>
        <w:tc>
          <w:tcPr>
            <w:tcW w:w="1439" w:type="dxa"/>
          </w:tcPr>
          <w:p w14:paraId="5F8925F2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6A6D736E" w14:textId="77777777" w:rsidTr="00CC4878">
        <w:trPr>
          <w:trHeight w:val="181"/>
        </w:trPr>
        <w:tc>
          <w:tcPr>
            <w:tcW w:w="3355" w:type="dxa"/>
          </w:tcPr>
          <w:p w14:paraId="2622DEB5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volume</w:t>
            </w:r>
          </w:p>
        </w:tc>
        <w:tc>
          <w:tcPr>
            <w:tcW w:w="2329" w:type="dxa"/>
          </w:tcPr>
          <w:p w14:paraId="22C68B97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189" w:type="dxa"/>
          </w:tcPr>
          <w:p w14:paraId="35E5DE6C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439" w:type="dxa"/>
          </w:tcPr>
          <w:p w14:paraId="4E92A269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0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.56</w:t>
            </w:r>
          </w:p>
        </w:tc>
      </w:tr>
      <w:tr w:rsidR="00DA5620" w14:paraId="5E9776BD" w14:textId="77777777" w:rsidTr="00CC4878">
        <w:trPr>
          <w:trHeight w:val="181"/>
        </w:trPr>
        <w:tc>
          <w:tcPr>
            <w:tcW w:w="3355" w:type="dxa"/>
          </w:tcPr>
          <w:p w14:paraId="03F22246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 xml:space="preserve">≤30 mL </w:t>
            </w:r>
          </w:p>
        </w:tc>
        <w:tc>
          <w:tcPr>
            <w:tcW w:w="2329" w:type="dxa"/>
          </w:tcPr>
          <w:p w14:paraId="7B198CB3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10.58(-18.98,-2.19)</w:t>
            </w:r>
          </w:p>
        </w:tc>
        <w:tc>
          <w:tcPr>
            <w:tcW w:w="1189" w:type="dxa"/>
          </w:tcPr>
          <w:p w14:paraId="1E37B4DA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56%</w:t>
            </w:r>
          </w:p>
        </w:tc>
        <w:tc>
          <w:tcPr>
            <w:tcW w:w="1439" w:type="dxa"/>
          </w:tcPr>
          <w:p w14:paraId="5A21D28E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07D5EBCB" w14:textId="77777777" w:rsidTr="00CC4878">
        <w:trPr>
          <w:trHeight w:val="181"/>
        </w:trPr>
        <w:tc>
          <w:tcPr>
            <w:tcW w:w="3355" w:type="dxa"/>
          </w:tcPr>
          <w:p w14:paraId="73B312BD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&gt;30 mL</w:t>
            </w:r>
          </w:p>
        </w:tc>
        <w:tc>
          <w:tcPr>
            <w:tcW w:w="2329" w:type="dxa"/>
          </w:tcPr>
          <w:p w14:paraId="37E2D3F2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7.85(-11.54,-4.16)</w:t>
            </w:r>
          </w:p>
        </w:tc>
        <w:tc>
          <w:tcPr>
            <w:tcW w:w="1189" w:type="dxa"/>
          </w:tcPr>
          <w:p w14:paraId="13E9CB5A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8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4%</w:t>
            </w:r>
          </w:p>
        </w:tc>
        <w:tc>
          <w:tcPr>
            <w:tcW w:w="1439" w:type="dxa"/>
          </w:tcPr>
          <w:p w14:paraId="0B2AE668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36B85179" w14:textId="77777777" w:rsidTr="00CC4878">
        <w:trPr>
          <w:trHeight w:val="181"/>
        </w:trPr>
        <w:tc>
          <w:tcPr>
            <w:tcW w:w="3355" w:type="dxa"/>
          </w:tcPr>
          <w:p w14:paraId="34C36D37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block approach</w:t>
            </w:r>
          </w:p>
        </w:tc>
        <w:tc>
          <w:tcPr>
            <w:tcW w:w="2329" w:type="dxa"/>
          </w:tcPr>
          <w:p w14:paraId="48419FBC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189" w:type="dxa"/>
          </w:tcPr>
          <w:p w14:paraId="1899D773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439" w:type="dxa"/>
          </w:tcPr>
          <w:p w14:paraId="60EB1CAF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0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.05</w:t>
            </w:r>
          </w:p>
        </w:tc>
      </w:tr>
      <w:tr w:rsidR="00DA5620" w14:paraId="00D17E98" w14:textId="77777777" w:rsidTr="00CC4878">
        <w:trPr>
          <w:trHeight w:val="181"/>
        </w:trPr>
        <w:tc>
          <w:tcPr>
            <w:tcW w:w="3355" w:type="dxa"/>
          </w:tcPr>
          <w:p w14:paraId="581A5803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I-FICB</w:t>
            </w:r>
          </w:p>
        </w:tc>
        <w:tc>
          <w:tcPr>
            <w:tcW w:w="2329" w:type="dxa"/>
          </w:tcPr>
          <w:p w14:paraId="05AF48C1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0.25(-0.54,0.03)</w:t>
            </w:r>
          </w:p>
        </w:tc>
        <w:tc>
          <w:tcPr>
            <w:tcW w:w="1189" w:type="dxa"/>
          </w:tcPr>
          <w:p w14:paraId="3086C98A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0%</w:t>
            </w:r>
          </w:p>
        </w:tc>
        <w:tc>
          <w:tcPr>
            <w:tcW w:w="1439" w:type="dxa"/>
          </w:tcPr>
          <w:p w14:paraId="3DEE7A2A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4B4FD2D8" w14:textId="77777777" w:rsidTr="00CC4878">
        <w:trPr>
          <w:trHeight w:val="181"/>
        </w:trPr>
        <w:tc>
          <w:tcPr>
            <w:tcW w:w="3355" w:type="dxa"/>
          </w:tcPr>
          <w:p w14:paraId="7FF23ED1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S-FICB</w:t>
            </w:r>
          </w:p>
        </w:tc>
        <w:tc>
          <w:tcPr>
            <w:tcW w:w="2329" w:type="dxa"/>
          </w:tcPr>
          <w:p w14:paraId="0B60E193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-1.61(-2.97,-0.26)</w:t>
            </w:r>
          </w:p>
        </w:tc>
        <w:tc>
          <w:tcPr>
            <w:tcW w:w="1189" w:type="dxa"/>
          </w:tcPr>
          <w:p w14:paraId="1EBA76FB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85%</w:t>
            </w:r>
          </w:p>
        </w:tc>
        <w:tc>
          <w:tcPr>
            <w:tcW w:w="1439" w:type="dxa"/>
          </w:tcPr>
          <w:p w14:paraId="727345F6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65A20E06" w14:textId="77777777" w:rsidTr="00CC4878">
        <w:trPr>
          <w:trHeight w:val="181"/>
        </w:trPr>
        <w:tc>
          <w:tcPr>
            <w:tcW w:w="3355" w:type="dxa"/>
          </w:tcPr>
          <w:p w14:paraId="505898A3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surgical approaches</w:t>
            </w:r>
          </w:p>
        </w:tc>
        <w:tc>
          <w:tcPr>
            <w:tcW w:w="2329" w:type="dxa"/>
          </w:tcPr>
          <w:p w14:paraId="71E47BD4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189" w:type="dxa"/>
          </w:tcPr>
          <w:p w14:paraId="656F7351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439" w:type="dxa"/>
          </w:tcPr>
          <w:p w14:paraId="7FA7DBA4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0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.58</w:t>
            </w:r>
          </w:p>
        </w:tc>
      </w:tr>
      <w:tr w:rsidR="00DA5620" w14:paraId="288C51D1" w14:textId="77777777" w:rsidTr="00CC4878">
        <w:trPr>
          <w:trHeight w:val="181"/>
        </w:trPr>
        <w:tc>
          <w:tcPr>
            <w:tcW w:w="3355" w:type="dxa"/>
          </w:tcPr>
          <w:p w14:paraId="1500E84E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anterior approaches</w:t>
            </w:r>
          </w:p>
        </w:tc>
        <w:tc>
          <w:tcPr>
            <w:tcW w:w="2329" w:type="dxa"/>
          </w:tcPr>
          <w:p w14:paraId="5EDCAFEE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1.34(-3.04,0.35)</w:t>
            </w:r>
          </w:p>
        </w:tc>
        <w:tc>
          <w:tcPr>
            <w:tcW w:w="1189" w:type="dxa"/>
          </w:tcPr>
          <w:p w14:paraId="5356351F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9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6%</w:t>
            </w:r>
          </w:p>
        </w:tc>
        <w:tc>
          <w:tcPr>
            <w:tcW w:w="1439" w:type="dxa"/>
          </w:tcPr>
          <w:p w14:paraId="2D40C32D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6F0FB11D" w14:textId="77777777" w:rsidTr="00CC4878">
        <w:trPr>
          <w:trHeight w:val="181"/>
        </w:trPr>
        <w:tc>
          <w:tcPr>
            <w:tcW w:w="3355" w:type="dxa"/>
          </w:tcPr>
          <w:p w14:paraId="2A2B88CF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other approaches</w:t>
            </w:r>
          </w:p>
        </w:tc>
        <w:tc>
          <w:tcPr>
            <w:tcW w:w="2329" w:type="dxa"/>
          </w:tcPr>
          <w:p w14:paraId="632C246B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0.77(-1.83,0.28)</w:t>
            </w:r>
          </w:p>
        </w:tc>
        <w:tc>
          <w:tcPr>
            <w:tcW w:w="1189" w:type="dxa"/>
          </w:tcPr>
          <w:p w14:paraId="2F7E180E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9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5%</w:t>
            </w:r>
          </w:p>
        </w:tc>
        <w:tc>
          <w:tcPr>
            <w:tcW w:w="1439" w:type="dxa"/>
          </w:tcPr>
          <w:p w14:paraId="136D9C3E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1CF37B52" w14:textId="77777777" w:rsidTr="00CC4878">
        <w:trPr>
          <w:trHeight w:val="181"/>
        </w:trPr>
        <w:tc>
          <w:tcPr>
            <w:tcW w:w="3355" w:type="dxa"/>
          </w:tcPr>
          <w:p w14:paraId="480AA763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the timing of FICB management</w:t>
            </w:r>
          </w:p>
        </w:tc>
        <w:tc>
          <w:tcPr>
            <w:tcW w:w="2329" w:type="dxa"/>
          </w:tcPr>
          <w:p w14:paraId="5BC4528F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189" w:type="dxa"/>
          </w:tcPr>
          <w:p w14:paraId="15A030BD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  <w:tc>
          <w:tcPr>
            <w:tcW w:w="1439" w:type="dxa"/>
          </w:tcPr>
          <w:p w14:paraId="3D7A6EA5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  <w:tr w:rsidR="00DA5620" w14:paraId="5CDBD216" w14:textId="77777777" w:rsidTr="00CC4878">
        <w:trPr>
          <w:trHeight w:val="181"/>
        </w:trPr>
        <w:tc>
          <w:tcPr>
            <w:tcW w:w="3355" w:type="dxa"/>
          </w:tcPr>
          <w:p w14:paraId="43CEC84A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preoperative</w:t>
            </w:r>
          </w:p>
        </w:tc>
        <w:tc>
          <w:tcPr>
            <w:tcW w:w="2329" w:type="dxa"/>
          </w:tcPr>
          <w:p w14:paraId="6EE68E01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0.35(-0.87,0.16)</w:t>
            </w:r>
          </w:p>
        </w:tc>
        <w:tc>
          <w:tcPr>
            <w:tcW w:w="1189" w:type="dxa"/>
          </w:tcPr>
          <w:p w14:paraId="1DE2B560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5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0%</w:t>
            </w:r>
          </w:p>
        </w:tc>
        <w:tc>
          <w:tcPr>
            <w:tcW w:w="1439" w:type="dxa"/>
          </w:tcPr>
          <w:p w14:paraId="1D54E4D7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0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.12</w:t>
            </w:r>
          </w:p>
        </w:tc>
      </w:tr>
      <w:tr w:rsidR="00DA5620" w14:paraId="1C6E4BD7" w14:textId="77777777" w:rsidTr="00CC4878">
        <w:trPr>
          <w:trHeight w:val="181"/>
        </w:trPr>
        <w:tc>
          <w:tcPr>
            <w:tcW w:w="3355" w:type="dxa"/>
            <w:tcBorders>
              <w:bottom w:val="single" w:sz="8" w:space="0" w:color="auto"/>
            </w:tcBorders>
          </w:tcPr>
          <w:p w14:paraId="781788DB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/>
                <w:szCs w:val="22"/>
              </w:rPr>
              <w:t>postoperative</w:t>
            </w:r>
          </w:p>
        </w:tc>
        <w:tc>
          <w:tcPr>
            <w:tcW w:w="2329" w:type="dxa"/>
            <w:tcBorders>
              <w:bottom w:val="single" w:sz="8" w:space="0" w:color="auto"/>
            </w:tcBorders>
          </w:tcPr>
          <w:p w14:paraId="39EA24DB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-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1.72(-3.35,-0.10)</w:t>
            </w:r>
          </w:p>
        </w:tc>
        <w:tc>
          <w:tcPr>
            <w:tcW w:w="1189" w:type="dxa"/>
            <w:tcBorders>
              <w:bottom w:val="single" w:sz="8" w:space="0" w:color="auto"/>
            </w:tcBorders>
          </w:tcPr>
          <w:p w14:paraId="6694C397" w14:textId="77777777" w:rsidR="00DA5620" w:rsidRPr="00CC4878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 w:rsidRPr="00CC4878">
              <w:rPr>
                <w:rFonts w:ascii="Times New Roman" w:eastAsia="宋体" w:hAnsi="Times New Roman" w:cs="Times New Roman" w:hint="eastAsia"/>
                <w:szCs w:val="22"/>
              </w:rPr>
              <w:t>9</w:t>
            </w:r>
            <w:r w:rsidRPr="00CC4878">
              <w:rPr>
                <w:rFonts w:ascii="Times New Roman" w:eastAsia="宋体" w:hAnsi="Times New Roman" w:cs="Times New Roman"/>
                <w:szCs w:val="22"/>
              </w:rPr>
              <w:t>7%</w:t>
            </w:r>
          </w:p>
        </w:tc>
        <w:tc>
          <w:tcPr>
            <w:tcW w:w="1439" w:type="dxa"/>
            <w:tcBorders>
              <w:bottom w:val="single" w:sz="8" w:space="0" w:color="auto"/>
            </w:tcBorders>
          </w:tcPr>
          <w:p w14:paraId="7420767B" w14:textId="77777777" w:rsidR="00DA5620" w:rsidRPr="00CC4878" w:rsidRDefault="00DA5620">
            <w:pPr>
              <w:rPr>
                <w:rFonts w:ascii="Times New Roman" w:eastAsia="宋体" w:hAnsi="Times New Roman" w:cs="Times New Roman"/>
                <w:szCs w:val="22"/>
              </w:rPr>
            </w:pPr>
          </w:p>
        </w:tc>
      </w:tr>
    </w:tbl>
    <w:p w14:paraId="249EF322" w14:textId="77777777" w:rsidR="00DA5620" w:rsidRPr="00A479C2" w:rsidRDefault="00731BFD">
      <w:pPr>
        <w:rPr>
          <w:rFonts w:ascii="Times New Roman" w:eastAsia="宋体" w:hAnsi="Times New Roman" w:cs="Times New Roman"/>
          <w:szCs w:val="22"/>
        </w:rPr>
      </w:pPr>
      <w:r w:rsidRPr="00A479C2">
        <w:rPr>
          <w:rFonts w:ascii="Times New Roman" w:eastAsia="宋体" w:hAnsi="Times New Roman" w:cs="Times New Roman" w:hint="eastAsia"/>
          <w:szCs w:val="22"/>
        </w:rPr>
        <w:t>FICB</w:t>
      </w:r>
      <w:r w:rsidRPr="00A479C2">
        <w:rPr>
          <w:rFonts w:ascii="Times New Roman" w:eastAsia="宋体" w:hAnsi="Times New Roman" w:cs="Times New Roman" w:hint="eastAsia"/>
          <w:szCs w:val="22"/>
        </w:rPr>
        <w:t>：</w:t>
      </w:r>
      <w:r w:rsidRPr="00A479C2">
        <w:rPr>
          <w:rFonts w:ascii="Times New Roman" w:eastAsia="宋体" w:hAnsi="Times New Roman" w:cs="Times New Roman" w:hint="eastAsia"/>
          <w:szCs w:val="22"/>
        </w:rPr>
        <w:t xml:space="preserve">fascia iliaca compartment block </w:t>
      </w:r>
      <w:r w:rsidRPr="00A479C2">
        <w:rPr>
          <w:rFonts w:ascii="Times New Roman" w:eastAsia="宋体" w:hAnsi="Times New Roman" w:cs="Times New Roman"/>
          <w:szCs w:val="22"/>
        </w:rPr>
        <w:t xml:space="preserve"> </w:t>
      </w:r>
      <w:r w:rsidRPr="00A479C2">
        <w:rPr>
          <w:rFonts w:ascii="Times New Roman" w:eastAsia="宋体" w:hAnsi="Times New Roman" w:cs="Times New Roman" w:hint="eastAsia"/>
          <w:szCs w:val="22"/>
        </w:rPr>
        <w:t>S-FICB</w:t>
      </w:r>
      <w:r w:rsidRPr="00A479C2">
        <w:rPr>
          <w:rFonts w:ascii="Times New Roman" w:eastAsia="宋体" w:hAnsi="Times New Roman" w:cs="Times New Roman" w:hint="eastAsia"/>
          <w:szCs w:val="22"/>
        </w:rPr>
        <w:t>：</w:t>
      </w:r>
      <w:r w:rsidRPr="00A479C2">
        <w:rPr>
          <w:rFonts w:ascii="Times New Roman" w:eastAsia="宋体" w:hAnsi="Times New Roman" w:cs="Times New Roman" w:hint="eastAsia"/>
          <w:szCs w:val="22"/>
        </w:rPr>
        <w:t xml:space="preserve">supra-inguinal fascia iliaca compartment block  I-FICB : infra-inguinal fascia iliaca </w:t>
      </w:r>
      <w:r w:rsidRPr="00A479C2">
        <w:rPr>
          <w:rFonts w:ascii="Times New Roman" w:eastAsia="宋体" w:hAnsi="Times New Roman" w:cs="Times New Roman" w:hint="eastAsia"/>
          <w:szCs w:val="22"/>
        </w:rPr>
        <w:t>compartment block</w:t>
      </w:r>
      <w:r w:rsidRPr="00A479C2">
        <w:rPr>
          <w:rFonts w:ascii="Times New Roman" w:eastAsia="宋体" w:hAnsi="Times New Roman" w:cs="Times New Roman"/>
          <w:szCs w:val="22"/>
        </w:rPr>
        <w:t xml:space="preserve"> MD: Mean Difference</w:t>
      </w:r>
    </w:p>
    <w:p w14:paraId="336E720C" w14:textId="77777777" w:rsidR="00DA5620" w:rsidRDefault="00DA5620"/>
    <w:p w14:paraId="5B3D4C03" w14:textId="77777777" w:rsidR="00DA5620" w:rsidRDefault="00731BFD">
      <w:r>
        <w:t>Table 4. Publicaion bias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776"/>
        <w:gridCol w:w="1186"/>
        <w:gridCol w:w="1572"/>
        <w:gridCol w:w="960"/>
        <w:gridCol w:w="1063"/>
        <w:gridCol w:w="739"/>
      </w:tblGrid>
      <w:tr w:rsidR="00DA5620" w14:paraId="664BAE09" w14:textId="77777777">
        <w:tc>
          <w:tcPr>
            <w:tcW w:w="2879" w:type="dxa"/>
          </w:tcPr>
          <w:p w14:paraId="32C29CC3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Outcome</w:t>
            </w:r>
          </w:p>
        </w:tc>
        <w:tc>
          <w:tcPr>
            <w:tcW w:w="1214" w:type="dxa"/>
          </w:tcPr>
          <w:p w14:paraId="4EE9BBE3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Num of studies</w:t>
            </w:r>
          </w:p>
        </w:tc>
        <w:tc>
          <w:tcPr>
            <w:tcW w:w="1622" w:type="dxa"/>
          </w:tcPr>
          <w:p w14:paraId="4C099F64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test</w:t>
            </w:r>
          </w:p>
        </w:tc>
        <w:tc>
          <w:tcPr>
            <w:tcW w:w="979" w:type="dxa"/>
          </w:tcPr>
          <w:p w14:paraId="44ED9164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p</w:t>
            </w:r>
          </w:p>
        </w:tc>
        <w:tc>
          <w:tcPr>
            <w:tcW w:w="1081" w:type="dxa"/>
          </w:tcPr>
          <w:p w14:paraId="7FCD8EAB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test</w:t>
            </w:r>
          </w:p>
        </w:tc>
        <w:tc>
          <w:tcPr>
            <w:tcW w:w="743" w:type="dxa"/>
          </w:tcPr>
          <w:p w14:paraId="3296CE03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p</w:t>
            </w:r>
          </w:p>
        </w:tc>
      </w:tr>
      <w:tr w:rsidR="00DA5620" w14:paraId="2ED65B9D" w14:textId="77777777">
        <w:tc>
          <w:tcPr>
            <w:tcW w:w="2879" w:type="dxa"/>
          </w:tcPr>
          <w:p w14:paraId="2C9E42BF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Total opioid consumption within 24 hours after operation</w:t>
            </w:r>
          </w:p>
        </w:tc>
        <w:tc>
          <w:tcPr>
            <w:tcW w:w="1214" w:type="dxa"/>
          </w:tcPr>
          <w:p w14:paraId="73221499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8</w:t>
            </w:r>
          </w:p>
        </w:tc>
        <w:tc>
          <w:tcPr>
            <w:tcW w:w="1622" w:type="dxa"/>
          </w:tcPr>
          <w:p w14:paraId="0E7C8284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bookmarkStart w:id="9" w:name="OLE_LINK3"/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  <w:bookmarkEnd w:id="9"/>
          </w:p>
        </w:tc>
        <w:tc>
          <w:tcPr>
            <w:tcW w:w="979" w:type="dxa"/>
          </w:tcPr>
          <w:p w14:paraId="7CBB3427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0.148</w:t>
            </w:r>
          </w:p>
        </w:tc>
        <w:tc>
          <w:tcPr>
            <w:tcW w:w="1081" w:type="dxa"/>
          </w:tcPr>
          <w:p w14:paraId="4D2B8F79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743" w:type="dxa"/>
          </w:tcPr>
          <w:p w14:paraId="62CD39DB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0.108</w:t>
            </w:r>
          </w:p>
        </w:tc>
      </w:tr>
      <w:tr w:rsidR="00DA5620" w14:paraId="368418B0" w14:textId="77777777">
        <w:tc>
          <w:tcPr>
            <w:tcW w:w="2879" w:type="dxa"/>
          </w:tcPr>
          <w:p w14:paraId="411912EF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Pain scores at 6 hours after operation</w:t>
            </w:r>
          </w:p>
        </w:tc>
        <w:tc>
          <w:tcPr>
            <w:tcW w:w="1214" w:type="dxa"/>
          </w:tcPr>
          <w:p w14:paraId="31F49369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5</w:t>
            </w:r>
          </w:p>
        </w:tc>
        <w:tc>
          <w:tcPr>
            <w:tcW w:w="1622" w:type="dxa"/>
          </w:tcPr>
          <w:p w14:paraId="3D74BA40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979" w:type="dxa"/>
          </w:tcPr>
          <w:p w14:paraId="1D7CAD5D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0.640</w:t>
            </w:r>
          </w:p>
        </w:tc>
        <w:tc>
          <w:tcPr>
            <w:tcW w:w="1081" w:type="dxa"/>
          </w:tcPr>
          <w:p w14:paraId="56853E44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743" w:type="dxa"/>
          </w:tcPr>
          <w:p w14:paraId="5E5618D0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0.806</w:t>
            </w:r>
          </w:p>
        </w:tc>
      </w:tr>
      <w:tr w:rsidR="00DA5620" w14:paraId="06B8628F" w14:textId="77777777">
        <w:tc>
          <w:tcPr>
            <w:tcW w:w="2879" w:type="dxa"/>
          </w:tcPr>
          <w:p w14:paraId="56AEBD12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Pain scores at 12 hours after operation</w:t>
            </w:r>
          </w:p>
        </w:tc>
        <w:tc>
          <w:tcPr>
            <w:tcW w:w="1214" w:type="dxa"/>
          </w:tcPr>
          <w:p w14:paraId="3CB13755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8</w:t>
            </w:r>
          </w:p>
        </w:tc>
        <w:tc>
          <w:tcPr>
            <w:tcW w:w="1622" w:type="dxa"/>
            <w:shd w:val="clear" w:color="auto" w:fill="auto"/>
          </w:tcPr>
          <w:p w14:paraId="598E1972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979" w:type="dxa"/>
          </w:tcPr>
          <w:p w14:paraId="07582FA1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0.323</w:t>
            </w:r>
          </w:p>
        </w:tc>
        <w:tc>
          <w:tcPr>
            <w:tcW w:w="1081" w:type="dxa"/>
            <w:shd w:val="clear" w:color="auto" w:fill="auto"/>
          </w:tcPr>
          <w:p w14:paraId="1953F73A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743" w:type="dxa"/>
          </w:tcPr>
          <w:p w14:paraId="519FA51B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0.174</w:t>
            </w:r>
          </w:p>
        </w:tc>
      </w:tr>
      <w:tr w:rsidR="00DA5620" w14:paraId="6DC5A81E" w14:textId="77777777">
        <w:tc>
          <w:tcPr>
            <w:tcW w:w="2879" w:type="dxa"/>
          </w:tcPr>
          <w:p w14:paraId="72F4F77D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Pain scores at 24 hours after operation</w:t>
            </w:r>
          </w:p>
        </w:tc>
        <w:tc>
          <w:tcPr>
            <w:tcW w:w="1214" w:type="dxa"/>
          </w:tcPr>
          <w:p w14:paraId="27324BB1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10</w:t>
            </w:r>
          </w:p>
        </w:tc>
        <w:tc>
          <w:tcPr>
            <w:tcW w:w="1622" w:type="dxa"/>
            <w:shd w:val="clear" w:color="auto" w:fill="auto"/>
          </w:tcPr>
          <w:p w14:paraId="2AACFC66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979" w:type="dxa"/>
          </w:tcPr>
          <w:p w14:paraId="21DCF0B7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0.440</w:t>
            </w:r>
          </w:p>
        </w:tc>
        <w:tc>
          <w:tcPr>
            <w:tcW w:w="1081" w:type="dxa"/>
            <w:shd w:val="clear" w:color="auto" w:fill="auto"/>
          </w:tcPr>
          <w:p w14:paraId="0B9487AB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743" w:type="dxa"/>
          </w:tcPr>
          <w:p w14:paraId="21EE0D8A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0.721</w:t>
            </w:r>
          </w:p>
        </w:tc>
      </w:tr>
      <w:tr w:rsidR="00DA5620" w14:paraId="28F87E55" w14:textId="77777777">
        <w:tc>
          <w:tcPr>
            <w:tcW w:w="2879" w:type="dxa"/>
          </w:tcPr>
          <w:p w14:paraId="3EC55254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Pain scores at 48 hours after operation</w:t>
            </w:r>
          </w:p>
        </w:tc>
        <w:tc>
          <w:tcPr>
            <w:tcW w:w="1214" w:type="dxa"/>
          </w:tcPr>
          <w:p w14:paraId="2D70AA2B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5</w:t>
            </w:r>
          </w:p>
        </w:tc>
        <w:tc>
          <w:tcPr>
            <w:tcW w:w="1622" w:type="dxa"/>
            <w:shd w:val="clear" w:color="auto" w:fill="auto"/>
          </w:tcPr>
          <w:p w14:paraId="0435FA9C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979" w:type="dxa"/>
          </w:tcPr>
          <w:p w14:paraId="3C2C4DBF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0.431</w:t>
            </w:r>
          </w:p>
        </w:tc>
        <w:tc>
          <w:tcPr>
            <w:tcW w:w="1081" w:type="dxa"/>
            <w:shd w:val="clear" w:color="auto" w:fill="auto"/>
          </w:tcPr>
          <w:p w14:paraId="67297D2E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 xml:space="preserve">s 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test</w:t>
            </w:r>
          </w:p>
        </w:tc>
        <w:tc>
          <w:tcPr>
            <w:tcW w:w="743" w:type="dxa"/>
          </w:tcPr>
          <w:p w14:paraId="05A8403A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0.462</w:t>
            </w:r>
          </w:p>
        </w:tc>
      </w:tr>
      <w:tr w:rsidR="00DA5620" w14:paraId="0FD4CCD4" w14:textId="77777777">
        <w:tc>
          <w:tcPr>
            <w:tcW w:w="2879" w:type="dxa"/>
          </w:tcPr>
          <w:p w14:paraId="3DD20F40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length of stay</w:t>
            </w:r>
          </w:p>
        </w:tc>
        <w:tc>
          <w:tcPr>
            <w:tcW w:w="1214" w:type="dxa"/>
          </w:tcPr>
          <w:p w14:paraId="06ED79C2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3</w:t>
            </w:r>
          </w:p>
        </w:tc>
        <w:tc>
          <w:tcPr>
            <w:tcW w:w="1622" w:type="dxa"/>
            <w:shd w:val="clear" w:color="auto" w:fill="auto"/>
          </w:tcPr>
          <w:p w14:paraId="11191024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979" w:type="dxa"/>
          </w:tcPr>
          <w:p w14:paraId="3AE7C46B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0.636</w:t>
            </w:r>
          </w:p>
        </w:tc>
        <w:tc>
          <w:tcPr>
            <w:tcW w:w="1081" w:type="dxa"/>
            <w:shd w:val="clear" w:color="auto" w:fill="auto"/>
          </w:tcPr>
          <w:p w14:paraId="5943E0B9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743" w:type="dxa"/>
          </w:tcPr>
          <w:p w14:paraId="657DD558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1.000</w:t>
            </w:r>
          </w:p>
        </w:tc>
      </w:tr>
      <w:tr w:rsidR="00DA5620" w14:paraId="02873AFA" w14:textId="77777777">
        <w:tc>
          <w:tcPr>
            <w:tcW w:w="2879" w:type="dxa"/>
          </w:tcPr>
          <w:p w14:paraId="7208DA2D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Incidence of postoperative quadriceps weakness</w:t>
            </w:r>
          </w:p>
        </w:tc>
        <w:tc>
          <w:tcPr>
            <w:tcW w:w="1214" w:type="dxa"/>
          </w:tcPr>
          <w:p w14:paraId="7737FA0B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3</w:t>
            </w:r>
          </w:p>
        </w:tc>
        <w:tc>
          <w:tcPr>
            <w:tcW w:w="1622" w:type="dxa"/>
            <w:shd w:val="clear" w:color="auto" w:fill="auto"/>
          </w:tcPr>
          <w:p w14:paraId="61E056DF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979" w:type="dxa"/>
          </w:tcPr>
          <w:p w14:paraId="739F40A7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0.756</w:t>
            </w:r>
          </w:p>
        </w:tc>
        <w:tc>
          <w:tcPr>
            <w:tcW w:w="1081" w:type="dxa"/>
            <w:shd w:val="clear" w:color="auto" w:fill="auto"/>
          </w:tcPr>
          <w:p w14:paraId="649853F2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743" w:type="dxa"/>
          </w:tcPr>
          <w:p w14:paraId="013CD9F2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1.000</w:t>
            </w:r>
          </w:p>
        </w:tc>
      </w:tr>
      <w:tr w:rsidR="00DA5620" w14:paraId="737C3C5B" w14:textId="77777777">
        <w:tc>
          <w:tcPr>
            <w:tcW w:w="2879" w:type="dxa"/>
          </w:tcPr>
          <w:p w14:paraId="716A4885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Incidence of Nausea and Vomiting</w:t>
            </w:r>
          </w:p>
        </w:tc>
        <w:tc>
          <w:tcPr>
            <w:tcW w:w="1214" w:type="dxa"/>
          </w:tcPr>
          <w:p w14:paraId="54B11310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7</w:t>
            </w:r>
          </w:p>
        </w:tc>
        <w:tc>
          <w:tcPr>
            <w:tcW w:w="1622" w:type="dxa"/>
            <w:shd w:val="clear" w:color="auto" w:fill="auto"/>
          </w:tcPr>
          <w:p w14:paraId="1AC8F7E9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979" w:type="dxa"/>
          </w:tcPr>
          <w:p w14:paraId="77B55837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0.867</w:t>
            </w:r>
          </w:p>
        </w:tc>
        <w:tc>
          <w:tcPr>
            <w:tcW w:w="1081" w:type="dxa"/>
            <w:shd w:val="clear" w:color="auto" w:fill="auto"/>
          </w:tcPr>
          <w:p w14:paraId="7DFA9B87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743" w:type="dxa"/>
          </w:tcPr>
          <w:p w14:paraId="43188228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0.764</w:t>
            </w:r>
          </w:p>
        </w:tc>
      </w:tr>
      <w:tr w:rsidR="00DA5620" w14:paraId="64A102C6" w14:textId="77777777">
        <w:tc>
          <w:tcPr>
            <w:tcW w:w="2879" w:type="dxa"/>
          </w:tcPr>
          <w:p w14:paraId="427E035C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/>
                <w:szCs w:val="22"/>
              </w:rPr>
              <w:t>Incidence of pruritus</w:t>
            </w:r>
          </w:p>
        </w:tc>
        <w:tc>
          <w:tcPr>
            <w:tcW w:w="1214" w:type="dxa"/>
          </w:tcPr>
          <w:p w14:paraId="27B1E230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3</w:t>
            </w:r>
          </w:p>
        </w:tc>
        <w:tc>
          <w:tcPr>
            <w:tcW w:w="1622" w:type="dxa"/>
            <w:shd w:val="clear" w:color="auto" w:fill="auto"/>
          </w:tcPr>
          <w:p w14:paraId="5005D6B4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Egger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979" w:type="dxa"/>
          </w:tcPr>
          <w:p w14:paraId="06A02248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0.003</w:t>
            </w:r>
          </w:p>
        </w:tc>
        <w:tc>
          <w:tcPr>
            <w:tcW w:w="1081" w:type="dxa"/>
            <w:shd w:val="clear" w:color="auto" w:fill="auto"/>
          </w:tcPr>
          <w:p w14:paraId="16A7EA79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Begg</w:t>
            </w:r>
            <w:r>
              <w:rPr>
                <w:rFonts w:ascii="Times New Roman" w:eastAsia="宋体" w:hAnsi="Times New Roman" w:cs="Times New Roman"/>
                <w:szCs w:val="22"/>
              </w:rPr>
              <w:t>’</w:t>
            </w:r>
            <w:r>
              <w:rPr>
                <w:rFonts w:ascii="Times New Roman" w:eastAsia="宋体" w:hAnsi="Times New Roman" w:cs="Times New Roman" w:hint="eastAsia"/>
                <w:szCs w:val="22"/>
              </w:rPr>
              <w:t>s test</w:t>
            </w:r>
          </w:p>
        </w:tc>
        <w:tc>
          <w:tcPr>
            <w:tcW w:w="743" w:type="dxa"/>
          </w:tcPr>
          <w:p w14:paraId="3F6350CF" w14:textId="77777777" w:rsidR="00DA5620" w:rsidRDefault="00731BFD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0.296</w:t>
            </w:r>
          </w:p>
        </w:tc>
      </w:tr>
    </w:tbl>
    <w:p w14:paraId="2645184C" w14:textId="77777777" w:rsidR="00DA5620" w:rsidRDefault="00DA5620"/>
    <w:sectPr w:rsidR="00DA562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95162" w14:textId="77777777" w:rsidR="00731BFD" w:rsidRDefault="00731BFD">
      <w:r>
        <w:separator/>
      </w:r>
    </w:p>
  </w:endnote>
  <w:endnote w:type="continuationSeparator" w:id="0">
    <w:p w14:paraId="52EAC8D0" w14:textId="77777777" w:rsidR="00731BFD" w:rsidRDefault="00731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A1173" w14:textId="77777777" w:rsidR="00DA5620" w:rsidRDefault="00DA562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FAF4A" w14:textId="77777777" w:rsidR="00731BFD" w:rsidRDefault="00731BFD">
      <w:r>
        <w:separator/>
      </w:r>
    </w:p>
  </w:footnote>
  <w:footnote w:type="continuationSeparator" w:id="0">
    <w:p w14:paraId="561F508C" w14:textId="77777777" w:rsidR="00731BFD" w:rsidRDefault="00731B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1D34B5"/>
    <w:rsid w:val="00001ED7"/>
    <w:rsid w:val="000227A9"/>
    <w:rsid w:val="0003403F"/>
    <w:rsid w:val="00074BC0"/>
    <w:rsid w:val="000D699C"/>
    <w:rsid w:val="001C689E"/>
    <w:rsid w:val="001F0D83"/>
    <w:rsid w:val="001F159D"/>
    <w:rsid w:val="00221F08"/>
    <w:rsid w:val="00243E57"/>
    <w:rsid w:val="00282FF0"/>
    <w:rsid w:val="003342E6"/>
    <w:rsid w:val="0036427B"/>
    <w:rsid w:val="004B6469"/>
    <w:rsid w:val="00504ED6"/>
    <w:rsid w:val="005466ED"/>
    <w:rsid w:val="00561468"/>
    <w:rsid w:val="00587B8B"/>
    <w:rsid w:val="005A00A3"/>
    <w:rsid w:val="005B6335"/>
    <w:rsid w:val="005B7E5F"/>
    <w:rsid w:val="005F56A0"/>
    <w:rsid w:val="0065491E"/>
    <w:rsid w:val="00677367"/>
    <w:rsid w:val="007215FD"/>
    <w:rsid w:val="00731BFD"/>
    <w:rsid w:val="00736830"/>
    <w:rsid w:val="00737BC4"/>
    <w:rsid w:val="0075069F"/>
    <w:rsid w:val="0075418C"/>
    <w:rsid w:val="007631AD"/>
    <w:rsid w:val="007C119B"/>
    <w:rsid w:val="007C7AFF"/>
    <w:rsid w:val="00805061"/>
    <w:rsid w:val="008401C3"/>
    <w:rsid w:val="0084783F"/>
    <w:rsid w:val="00901053"/>
    <w:rsid w:val="00955FD5"/>
    <w:rsid w:val="009A0230"/>
    <w:rsid w:val="009B1955"/>
    <w:rsid w:val="009D02D1"/>
    <w:rsid w:val="00A07E7B"/>
    <w:rsid w:val="00A115C4"/>
    <w:rsid w:val="00A479C2"/>
    <w:rsid w:val="00A81567"/>
    <w:rsid w:val="00AA71BE"/>
    <w:rsid w:val="00AE2C76"/>
    <w:rsid w:val="00B166FD"/>
    <w:rsid w:val="00B26EC9"/>
    <w:rsid w:val="00B67020"/>
    <w:rsid w:val="00B70D65"/>
    <w:rsid w:val="00C25674"/>
    <w:rsid w:val="00C37C5E"/>
    <w:rsid w:val="00CC4878"/>
    <w:rsid w:val="00D001AC"/>
    <w:rsid w:val="00D22A4A"/>
    <w:rsid w:val="00D5013E"/>
    <w:rsid w:val="00D51717"/>
    <w:rsid w:val="00DA5620"/>
    <w:rsid w:val="00DC45EA"/>
    <w:rsid w:val="00DE0C98"/>
    <w:rsid w:val="00E02823"/>
    <w:rsid w:val="00E2153D"/>
    <w:rsid w:val="00E325CA"/>
    <w:rsid w:val="00EF636E"/>
    <w:rsid w:val="00F42B1D"/>
    <w:rsid w:val="00FB38E0"/>
    <w:rsid w:val="262B152D"/>
    <w:rsid w:val="4D1D34B5"/>
    <w:rsid w:val="7C7E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790B97"/>
  <w15:docId w15:val="{9DCAAFFF-09C5-4A93-A037-1B3D48A1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uiPriority w:val="39"/>
    <w:rPr>
      <w:rFonts w:ascii="Times New Roman" w:eastAsia="宋体" w:hAnsi="Times New Roman" w:cs="Times New Roman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贝贝est</dc:creator>
  <cp:lastModifiedBy>Administrator</cp:lastModifiedBy>
  <cp:revision>26</cp:revision>
  <dcterms:created xsi:type="dcterms:W3CDTF">2025-06-25T02:46:00Z</dcterms:created>
  <dcterms:modified xsi:type="dcterms:W3CDTF">2025-07-17T15:32:00Z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F4BF70196BF04962902AF50847E7E713_13</vt:lpwstr>
  </property>
  <property fmtid="{D5CDD505-2E9C-101B-9397-08002B2CF9AE}" pid="4" name="KSOTemplateDocerSaveRecord">
    <vt:lpwstr>eyJoZGlkIjoiMjY0NzIwOWNhM2RlYTI1N2I2MTY2MmNjMzc3N2M3NTgiLCJ1c2VySWQiOiIzMzQxMzE0MjUifQ==</vt:lpwstr>
  </property>
</Properties>
</file>