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09E1" w14:textId="572AF2DA" w:rsidR="00DB512D" w:rsidRPr="00DB512D" w:rsidRDefault="00DB512D" w:rsidP="00DB512D">
      <w:pPr>
        <w:pStyle w:val="af0"/>
        <w:keepNext/>
        <w:rPr>
          <w:rFonts w:ascii="Times New Roman" w:hAnsi="Times New Roman" w:cs="Times New Roman"/>
          <w:b/>
          <w:bCs/>
        </w:rPr>
      </w:pPr>
      <w:r w:rsidRPr="00DB512D">
        <w:rPr>
          <w:rFonts w:ascii="Times New Roman" w:hAnsi="Times New Roman" w:cs="Times New Roman"/>
          <w:b/>
          <w:bCs/>
        </w:rPr>
        <w:t>Supplementary Table S1. Clinical implications of intranasal esketamine plus dexmedetomidine in pediatric anesthesia</w:t>
      </w:r>
    </w:p>
    <w:tbl>
      <w:tblPr>
        <w:tblStyle w:val="a4"/>
        <w:tblW w:w="10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3686"/>
        <w:gridCol w:w="1417"/>
        <w:gridCol w:w="2418"/>
        <w:gridCol w:w="1559"/>
      </w:tblGrid>
      <w:tr w:rsidR="00F508FE" w14:paraId="0E6AF718" w14:textId="77777777" w:rsidTr="00DB5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6"/>
          <w:jc w:val="center"/>
        </w:trPr>
        <w:tc>
          <w:tcPr>
            <w:tcW w:w="1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A407299" w14:textId="1B5408C7" w:rsidR="00DF4335" w:rsidRPr="00DB512D" w:rsidRDefault="00DF4335" w:rsidP="00DF4335">
            <w:pPr>
              <w:tabs>
                <w:tab w:val="left" w:pos="7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B512D">
              <w:rPr>
                <w:b/>
                <w:bCs/>
                <w:sz w:val="22"/>
                <w:szCs w:val="22"/>
              </w:rPr>
              <w:t>Clinical Aspect</w:t>
            </w:r>
          </w:p>
        </w:tc>
        <w:tc>
          <w:tcPr>
            <w:tcW w:w="36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5790A02" w14:textId="28CCC0AA" w:rsidR="00DF4335" w:rsidRPr="00DB512D" w:rsidRDefault="00DF4335" w:rsidP="00DF4335">
            <w:pPr>
              <w:tabs>
                <w:tab w:val="left" w:pos="7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B512D">
              <w:rPr>
                <w:b/>
                <w:bCs/>
                <w:sz w:val="22"/>
                <w:szCs w:val="22"/>
              </w:rPr>
              <w:t>Evidence Summary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F81D1EE" w14:textId="09FFB89D" w:rsidR="00DF4335" w:rsidRPr="00DB512D" w:rsidRDefault="00DF4335" w:rsidP="00DF4335">
            <w:pPr>
              <w:tabs>
                <w:tab w:val="left" w:pos="7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B512D">
              <w:rPr>
                <w:b/>
                <w:bCs/>
                <w:sz w:val="22"/>
                <w:szCs w:val="22"/>
              </w:rPr>
              <w:t>Direction of Effect</w:t>
            </w:r>
          </w:p>
        </w:tc>
        <w:tc>
          <w:tcPr>
            <w:tcW w:w="2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25F842F" w14:textId="14350A1C" w:rsidR="00DF4335" w:rsidRPr="00DB512D" w:rsidRDefault="00DF4335" w:rsidP="00DF4335">
            <w:pPr>
              <w:tabs>
                <w:tab w:val="left" w:pos="7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B512D">
              <w:rPr>
                <w:b/>
                <w:bCs/>
                <w:sz w:val="22"/>
                <w:szCs w:val="22"/>
              </w:rPr>
              <w:t>Clinical Interpretation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03077A5" w14:textId="7D58659D" w:rsidR="00DF4335" w:rsidRPr="00DB512D" w:rsidRDefault="00DF4335" w:rsidP="00DF4335">
            <w:pPr>
              <w:tabs>
                <w:tab w:val="left" w:pos="7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B512D">
              <w:rPr>
                <w:b/>
                <w:bCs/>
                <w:sz w:val="22"/>
                <w:szCs w:val="22"/>
              </w:rPr>
              <w:t>Notes / Cautions</w:t>
            </w:r>
          </w:p>
        </w:tc>
      </w:tr>
      <w:tr w:rsidR="00DF4335" w14:paraId="27D554CD" w14:textId="77777777" w:rsidTr="00DB512D">
        <w:trPr>
          <w:trHeight w:val="1265"/>
          <w:jc w:val="center"/>
        </w:trPr>
        <w:tc>
          <w:tcPr>
            <w:tcW w:w="1835" w:type="dxa"/>
          </w:tcPr>
          <w:p w14:paraId="38961AD4" w14:textId="73F975AF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 w:rsidRPr="00DF4335">
              <w:rPr>
                <w:sz w:val="20"/>
                <w:szCs w:val="20"/>
              </w:rPr>
              <w:t>Emergence delirium</w:t>
            </w:r>
          </w:p>
        </w:tc>
        <w:tc>
          <w:tcPr>
            <w:tcW w:w="3686" w:type="dxa"/>
          </w:tcPr>
          <w:p w14:paraId="718FF8F3" w14:textId="7537A581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Pooled analysis showed a significantly lower incidence compared with dexmedetomidine alone</w:t>
            </w:r>
            <w:r w:rsidR="00F508FE">
              <w:t>.</w:t>
            </w:r>
          </w:p>
        </w:tc>
        <w:tc>
          <w:tcPr>
            <w:tcW w:w="1417" w:type="dxa"/>
          </w:tcPr>
          <w:p w14:paraId="3B4E7C7C" w14:textId="1830BCC8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Reduced</w:t>
            </w:r>
          </w:p>
        </w:tc>
        <w:tc>
          <w:tcPr>
            <w:tcW w:w="2418" w:type="dxa"/>
          </w:tcPr>
          <w:p w14:paraId="4D0A84C7" w14:textId="5FA7678C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May be beneficial for preventing emergence delirium in pediatric elective surgery.</w:t>
            </w:r>
          </w:p>
        </w:tc>
        <w:tc>
          <w:tcPr>
            <w:tcW w:w="1559" w:type="dxa"/>
          </w:tcPr>
          <w:p w14:paraId="0A7439AD" w14:textId="53120CD5" w:rsidR="00DF4335" w:rsidRPr="00DF4335" w:rsidRDefault="00DF4335" w:rsidP="00DF4335">
            <w:pPr>
              <w:rPr>
                <w:sz w:val="20"/>
                <w:szCs w:val="20"/>
              </w:rPr>
            </w:pPr>
            <w:r>
              <w:t>Based on PAED score</w:t>
            </w:r>
          </w:p>
        </w:tc>
      </w:tr>
      <w:tr w:rsidR="00DF4335" w14:paraId="5AD70FC0" w14:textId="77777777" w:rsidTr="00DB512D">
        <w:trPr>
          <w:trHeight w:val="555"/>
          <w:jc w:val="center"/>
        </w:trPr>
        <w:tc>
          <w:tcPr>
            <w:tcW w:w="1835" w:type="dxa"/>
          </w:tcPr>
          <w:p w14:paraId="3E2303BB" w14:textId="33D5FC63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bookmarkStart w:id="0" w:name="OLE_LINK58"/>
            <w:r>
              <w:t>Emergence</w:t>
            </w:r>
            <w:bookmarkEnd w:id="0"/>
            <w:r>
              <w:t xml:space="preserve"> time</w:t>
            </w:r>
          </w:p>
        </w:tc>
        <w:tc>
          <w:tcPr>
            <w:tcW w:w="3686" w:type="dxa"/>
          </w:tcPr>
          <w:p w14:paraId="6052ECCE" w14:textId="78CD0C14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No statistically significant difference was observed between groups.</w:t>
            </w:r>
          </w:p>
        </w:tc>
        <w:tc>
          <w:tcPr>
            <w:tcW w:w="1417" w:type="dxa"/>
          </w:tcPr>
          <w:p w14:paraId="68538CCD" w14:textId="21689CEF" w:rsidR="00DF4335" w:rsidRPr="00DF4335" w:rsidRDefault="00DF4335" w:rsidP="00DF4335">
            <w:pPr>
              <w:rPr>
                <w:sz w:val="20"/>
                <w:szCs w:val="20"/>
              </w:rPr>
            </w:pPr>
            <w:r>
              <w:t>No difference</w:t>
            </w:r>
          </w:p>
        </w:tc>
        <w:tc>
          <w:tcPr>
            <w:tcW w:w="2418" w:type="dxa"/>
          </w:tcPr>
          <w:p w14:paraId="684D78E0" w14:textId="00D93E02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 w:rsidRPr="00DF4335">
              <w:t xml:space="preserve">Combination therapy does not appear to shorten </w:t>
            </w:r>
            <w:r w:rsidR="00DB512D">
              <w:t>e</w:t>
            </w:r>
            <w:r w:rsidR="00DB512D">
              <w:t>mergence</w:t>
            </w:r>
            <w:r w:rsidRPr="00DF4335">
              <w:t xml:space="preserve"> time.</w:t>
            </w:r>
          </w:p>
        </w:tc>
        <w:tc>
          <w:tcPr>
            <w:tcW w:w="1559" w:type="dxa"/>
          </w:tcPr>
          <w:p w14:paraId="7F898C44" w14:textId="5EBC7DC2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No</w:t>
            </w:r>
          </w:p>
        </w:tc>
      </w:tr>
      <w:tr w:rsidR="00DF4335" w14:paraId="69448FDF" w14:textId="77777777" w:rsidTr="00DB512D">
        <w:trPr>
          <w:trHeight w:val="584"/>
          <w:jc w:val="center"/>
        </w:trPr>
        <w:tc>
          <w:tcPr>
            <w:tcW w:w="1835" w:type="dxa"/>
          </w:tcPr>
          <w:p w14:paraId="07842D1E" w14:textId="6ABE2D54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Bradycardia</w:t>
            </w:r>
          </w:p>
        </w:tc>
        <w:tc>
          <w:tcPr>
            <w:tcW w:w="3686" w:type="dxa"/>
          </w:tcPr>
          <w:p w14:paraId="74C38EBE" w14:textId="631919E1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The incidence of bradycardia was significantly lower in the combination group.</w:t>
            </w:r>
          </w:p>
        </w:tc>
        <w:tc>
          <w:tcPr>
            <w:tcW w:w="1417" w:type="dxa"/>
          </w:tcPr>
          <w:p w14:paraId="0D480DBB" w14:textId="6FC1E94A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Reduced</w:t>
            </w:r>
          </w:p>
        </w:tc>
        <w:tc>
          <w:tcPr>
            <w:tcW w:w="2418" w:type="dxa"/>
          </w:tcPr>
          <w:p w14:paraId="20437868" w14:textId="599A46EF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May reduce the risk of dexmedetomidine-related bradycardia.</w:t>
            </w:r>
          </w:p>
        </w:tc>
        <w:tc>
          <w:tcPr>
            <w:tcW w:w="1559" w:type="dxa"/>
          </w:tcPr>
          <w:p w14:paraId="5598FD91" w14:textId="53B993EC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No</w:t>
            </w:r>
          </w:p>
        </w:tc>
      </w:tr>
      <w:tr w:rsidR="00DF4335" w14:paraId="5B4AB365" w14:textId="77777777" w:rsidTr="00DB512D">
        <w:trPr>
          <w:trHeight w:val="555"/>
          <w:jc w:val="center"/>
        </w:trPr>
        <w:tc>
          <w:tcPr>
            <w:tcW w:w="1835" w:type="dxa"/>
          </w:tcPr>
          <w:p w14:paraId="065042F2" w14:textId="7F13EDCD" w:rsidR="00DF4335" w:rsidRPr="00DF4335" w:rsidRDefault="00DF4335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Nausea and vomiting</w:t>
            </w:r>
          </w:p>
        </w:tc>
        <w:tc>
          <w:tcPr>
            <w:tcW w:w="3686" w:type="dxa"/>
          </w:tcPr>
          <w:p w14:paraId="5024E4BA" w14:textId="5CE64392" w:rsidR="00DF4335" w:rsidRPr="00DF4335" w:rsidRDefault="00DF4335" w:rsidP="00F508FE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No significant increase in postoperative nausea and vomiting was observed.</w:t>
            </w:r>
          </w:p>
        </w:tc>
        <w:tc>
          <w:tcPr>
            <w:tcW w:w="1417" w:type="dxa"/>
          </w:tcPr>
          <w:p w14:paraId="326790DB" w14:textId="1A171448" w:rsidR="00DF4335" w:rsidRPr="00DF4335" w:rsidRDefault="00DF4335" w:rsidP="00DF4335">
            <w:pPr>
              <w:rPr>
                <w:sz w:val="20"/>
                <w:szCs w:val="20"/>
              </w:rPr>
            </w:pPr>
            <w:r>
              <w:t>No difference</w:t>
            </w:r>
          </w:p>
        </w:tc>
        <w:tc>
          <w:tcPr>
            <w:tcW w:w="2418" w:type="dxa"/>
          </w:tcPr>
          <w:p w14:paraId="4A2D00DE" w14:textId="19F3C7E3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 w:rsidRPr="003C78DD">
              <w:rPr>
                <w:rFonts w:hint="eastAsia"/>
                <w:sz w:val="21"/>
                <w:szCs w:val="21"/>
              </w:rPr>
              <w:t>C</w:t>
            </w:r>
            <w:r w:rsidRPr="003C78DD">
              <w:rPr>
                <w:sz w:val="21"/>
                <w:szCs w:val="21"/>
              </w:rPr>
              <w:t>ombination therapy does not seem to reduce the incidence of postoperative nausea and vomiting.</w:t>
            </w:r>
          </w:p>
        </w:tc>
        <w:tc>
          <w:tcPr>
            <w:tcW w:w="1559" w:type="dxa"/>
          </w:tcPr>
          <w:p w14:paraId="49EE6FFA" w14:textId="7D14730E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o</w:t>
            </w:r>
          </w:p>
        </w:tc>
      </w:tr>
      <w:tr w:rsidR="00DF4335" w14:paraId="46330503" w14:textId="77777777" w:rsidTr="00DB512D">
        <w:trPr>
          <w:trHeight w:val="555"/>
          <w:jc w:val="center"/>
        </w:trPr>
        <w:tc>
          <w:tcPr>
            <w:tcW w:w="1835" w:type="dxa"/>
          </w:tcPr>
          <w:p w14:paraId="5BD100E8" w14:textId="3B142CB1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Preoperative anxiety (PSAS)</w:t>
            </w:r>
          </w:p>
        </w:tc>
        <w:tc>
          <w:tcPr>
            <w:tcW w:w="3686" w:type="dxa"/>
          </w:tcPr>
          <w:p w14:paraId="7C1CAE9A" w14:textId="4F4D2A63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bookmarkStart w:id="1" w:name="OLE_LINK57"/>
            <w:r>
              <w:t>Qualitative</w:t>
            </w:r>
            <w:bookmarkEnd w:id="1"/>
            <w:r>
              <w:t xml:space="preserve"> synthesis suggested lower parental separation anxiety scores in the combination group.</w:t>
            </w:r>
          </w:p>
        </w:tc>
        <w:tc>
          <w:tcPr>
            <w:tcW w:w="1417" w:type="dxa"/>
          </w:tcPr>
          <w:p w14:paraId="7363407B" w14:textId="760E3B09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Improved (trend)</w:t>
            </w:r>
          </w:p>
        </w:tc>
        <w:tc>
          <w:tcPr>
            <w:tcW w:w="2418" w:type="dxa"/>
          </w:tcPr>
          <w:p w14:paraId="41AD9629" w14:textId="3E0D2DC3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May improve preoperative anxiety and facilitate smoother parental separation.</w:t>
            </w:r>
          </w:p>
        </w:tc>
        <w:tc>
          <w:tcPr>
            <w:tcW w:w="1559" w:type="dxa"/>
          </w:tcPr>
          <w:p w14:paraId="64EBD40E" w14:textId="70DF7654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3C78DD">
              <w:rPr>
                <w:sz w:val="20"/>
                <w:szCs w:val="20"/>
              </w:rPr>
              <w:t>ot pooled quantitatively</w:t>
            </w:r>
          </w:p>
        </w:tc>
      </w:tr>
      <w:tr w:rsidR="00DF4335" w14:paraId="61548F77" w14:textId="77777777" w:rsidTr="00DB512D">
        <w:trPr>
          <w:trHeight w:val="584"/>
          <w:jc w:val="center"/>
        </w:trPr>
        <w:tc>
          <w:tcPr>
            <w:tcW w:w="1835" w:type="dxa"/>
          </w:tcPr>
          <w:p w14:paraId="2E541B75" w14:textId="589AD93A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rFonts w:cs="Times New Roman"/>
                <w:sz w:val="24"/>
              </w:rPr>
              <w:t>mask acceptance</w:t>
            </w:r>
            <w:r>
              <w:t xml:space="preserve"> (MAS)</w:t>
            </w:r>
          </w:p>
        </w:tc>
        <w:tc>
          <w:tcPr>
            <w:tcW w:w="3686" w:type="dxa"/>
          </w:tcPr>
          <w:p w14:paraId="6BAE2966" w14:textId="3C41A402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Qualitative synthesis indicated better mask acceptance in the combination group.</w:t>
            </w:r>
          </w:p>
        </w:tc>
        <w:tc>
          <w:tcPr>
            <w:tcW w:w="1417" w:type="dxa"/>
          </w:tcPr>
          <w:p w14:paraId="13771C5A" w14:textId="64ABE7C9" w:rsidR="00DF4335" w:rsidRPr="00DF4335" w:rsidRDefault="003C78DD" w:rsidP="00226EC4">
            <w:pPr>
              <w:tabs>
                <w:tab w:val="left" w:pos="751"/>
              </w:tabs>
              <w:rPr>
                <w:rFonts w:hint="eastAsia"/>
                <w:sz w:val="20"/>
                <w:szCs w:val="20"/>
              </w:rPr>
            </w:pPr>
            <w:r>
              <w:t>Improved (trend)</w:t>
            </w:r>
          </w:p>
        </w:tc>
        <w:tc>
          <w:tcPr>
            <w:tcW w:w="2418" w:type="dxa"/>
          </w:tcPr>
          <w:p w14:paraId="5B876A8E" w14:textId="036A7374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May facilitate anesthesia induction</w:t>
            </w:r>
            <w:r>
              <w:rPr>
                <w:rFonts w:hint="eastAsia"/>
              </w:rPr>
              <w:t xml:space="preserve"> </w:t>
            </w:r>
            <w:r>
              <w:t>process</w:t>
            </w:r>
            <w:r>
              <w:t xml:space="preserve"> and improve patient cooperation.</w:t>
            </w:r>
          </w:p>
        </w:tc>
        <w:tc>
          <w:tcPr>
            <w:tcW w:w="1559" w:type="dxa"/>
          </w:tcPr>
          <w:p w14:paraId="77CBD26D" w14:textId="34EE5A79" w:rsidR="00DF4335" w:rsidRPr="003C78DD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F</w:t>
            </w:r>
            <w:r>
              <w:t>indings should be interpreted with caution</w:t>
            </w:r>
          </w:p>
        </w:tc>
      </w:tr>
      <w:tr w:rsidR="00DF4335" w14:paraId="3E6D0B24" w14:textId="77777777" w:rsidTr="00DB512D">
        <w:trPr>
          <w:trHeight w:val="555"/>
          <w:jc w:val="center"/>
        </w:trPr>
        <w:tc>
          <w:tcPr>
            <w:tcW w:w="1835" w:type="dxa"/>
          </w:tcPr>
          <w:p w14:paraId="0410A96B" w14:textId="27724A21" w:rsidR="00DF4335" w:rsidRPr="003C78DD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PACU recovery time</w:t>
            </w:r>
          </w:p>
        </w:tc>
        <w:tc>
          <w:tcPr>
            <w:tcW w:w="3686" w:type="dxa"/>
          </w:tcPr>
          <w:p w14:paraId="0E40118A" w14:textId="24E302ED" w:rsidR="00DF4335" w:rsidRPr="00DF4335" w:rsidRDefault="00DB512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t>Qualitative</w:t>
            </w:r>
            <w:r w:rsidR="003C78DD">
              <w:t xml:space="preserve"> synthesis suggested largely similar PACU recovery times between groups; four studies reported slightly shorter times with the combination, while one study reported a slightly longer time.</w:t>
            </w:r>
          </w:p>
        </w:tc>
        <w:tc>
          <w:tcPr>
            <w:tcW w:w="1417" w:type="dxa"/>
          </w:tcPr>
          <w:p w14:paraId="4AEDA04B" w14:textId="0757EB84" w:rsidR="00DF4335" w:rsidRPr="00DF4335" w:rsidRDefault="003C78DD" w:rsidP="00226EC4">
            <w:pPr>
              <w:tabs>
                <w:tab w:val="left" w:pos="751"/>
              </w:tabs>
              <w:rPr>
                <w:rFonts w:hint="eastAsia"/>
                <w:sz w:val="20"/>
                <w:szCs w:val="20"/>
              </w:rPr>
            </w:pPr>
            <w:r>
              <w:t>No clear difference</w:t>
            </w:r>
          </w:p>
        </w:tc>
        <w:tc>
          <w:tcPr>
            <w:tcW w:w="2418" w:type="dxa"/>
          </w:tcPr>
          <w:p w14:paraId="192B29D3" w14:textId="3C44037D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 w:rsidRPr="003C78DD">
              <w:rPr>
                <w:sz w:val="20"/>
                <w:szCs w:val="20"/>
              </w:rPr>
              <w:t>The combination therapy did not appear to reduce the recovery time in the PACU</w:t>
            </w:r>
          </w:p>
        </w:tc>
        <w:tc>
          <w:tcPr>
            <w:tcW w:w="1559" w:type="dxa"/>
          </w:tcPr>
          <w:p w14:paraId="4928D480" w14:textId="6F022DF3" w:rsidR="00DF4335" w:rsidRPr="00DF4335" w:rsidRDefault="003C78DD" w:rsidP="00226EC4">
            <w:pPr>
              <w:tabs>
                <w:tab w:val="left" w:pos="751"/>
              </w:tabs>
              <w:rPr>
                <w:sz w:val="20"/>
                <w:szCs w:val="20"/>
              </w:rPr>
            </w:pPr>
            <w:r>
              <w:rPr>
                <w:rFonts w:hint="eastAsia"/>
              </w:rPr>
              <w:t>Q</w:t>
            </w:r>
            <w:r>
              <w:t>ualitative comparison only.</w:t>
            </w:r>
          </w:p>
        </w:tc>
      </w:tr>
    </w:tbl>
    <w:p w14:paraId="52448103" w14:textId="555E5E16" w:rsidR="00226EC4" w:rsidRPr="00226EC4" w:rsidRDefault="00226EC4" w:rsidP="00226EC4">
      <w:pPr>
        <w:tabs>
          <w:tab w:val="left" w:pos="751"/>
        </w:tabs>
      </w:pPr>
    </w:p>
    <w:sectPr w:rsidR="00226EC4" w:rsidRPr="00226E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C4"/>
    <w:rsid w:val="000014BD"/>
    <w:rsid w:val="00015415"/>
    <w:rsid w:val="00022112"/>
    <w:rsid w:val="0005541A"/>
    <w:rsid w:val="000554F3"/>
    <w:rsid w:val="00086ACB"/>
    <w:rsid w:val="000D4BAE"/>
    <w:rsid w:val="00106CB7"/>
    <w:rsid w:val="001119EB"/>
    <w:rsid w:val="00125D24"/>
    <w:rsid w:val="00142AF8"/>
    <w:rsid w:val="00157094"/>
    <w:rsid w:val="00180C76"/>
    <w:rsid w:val="001B22B4"/>
    <w:rsid w:val="001D1403"/>
    <w:rsid w:val="001D7F65"/>
    <w:rsid w:val="001E7D00"/>
    <w:rsid w:val="00217395"/>
    <w:rsid w:val="00224062"/>
    <w:rsid w:val="00226EC4"/>
    <w:rsid w:val="00241CB1"/>
    <w:rsid w:val="00261340"/>
    <w:rsid w:val="002D14B7"/>
    <w:rsid w:val="002D3808"/>
    <w:rsid w:val="002E0FDB"/>
    <w:rsid w:val="002E2122"/>
    <w:rsid w:val="002E7165"/>
    <w:rsid w:val="002F0C7F"/>
    <w:rsid w:val="0033008C"/>
    <w:rsid w:val="00332C3E"/>
    <w:rsid w:val="00382AED"/>
    <w:rsid w:val="003862EB"/>
    <w:rsid w:val="003A36BD"/>
    <w:rsid w:val="003C78DD"/>
    <w:rsid w:val="003E6DED"/>
    <w:rsid w:val="00406683"/>
    <w:rsid w:val="00457783"/>
    <w:rsid w:val="0048300C"/>
    <w:rsid w:val="004C671E"/>
    <w:rsid w:val="004E0E70"/>
    <w:rsid w:val="004F1970"/>
    <w:rsid w:val="00503742"/>
    <w:rsid w:val="00553590"/>
    <w:rsid w:val="00563060"/>
    <w:rsid w:val="005C4D93"/>
    <w:rsid w:val="005C5694"/>
    <w:rsid w:val="005D0FC2"/>
    <w:rsid w:val="005F1E2F"/>
    <w:rsid w:val="00621BD6"/>
    <w:rsid w:val="00621D25"/>
    <w:rsid w:val="006707DC"/>
    <w:rsid w:val="00672DA8"/>
    <w:rsid w:val="006B4F21"/>
    <w:rsid w:val="006C4AD3"/>
    <w:rsid w:val="006D0519"/>
    <w:rsid w:val="00766862"/>
    <w:rsid w:val="007C39A3"/>
    <w:rsid w:val="007E1F03"/>
    <w:rsid w:val="007F7139"/>
    <w:rsid w:val="0081595B"/>
    <w:rsid w:val="00853744"/>
    <w:rsid w:val="008E3341"/>
    <w:rsid w:val="0090391B"/>
    <w:rsid w:val="009146E1"/>
    <w:rsid w:val="009311F4"/>
    <w:rsid w:val="00932D32"/>
    <w:rsid w:val="00947D0C"/>
    <w:rsid w:val="00950F12"/>
    <w:rsid w:val="00967C96"/>
    <w:rsid w:val="0097130F"/>
    <w:rsid w:val="00974F14"/>
    <w:rsid w:val="009900F9"/>
    <w:rsid w:val="00990A0E"/>
    <w:rsid w:val="009D0CC7"/>
    <w:rsid w:val="009F6156"/>
    <w:rsid w:val="00A264E0"/>
    <w:rsid w:val="00A32A2C"/>
    <w:rsid w:val="00A50D56"/>
    <w:rsid w:val="00A60C4C"/>
    <w:rsid w:val="00AC03FB"/>
    <w:rsid w:val="00AE3796"/>
    <w:rsid w:val="00AE7A6D"/>
    <w:rsid w:val="00B02987"/>
    <w:rsid w:val="00B07C39"/>
    <w:rsid w:val="00B51C97"/>
    <w:rsid w:val="00B67B0B"/>
    <w:rsid w:val="00B91B4C"/>
    <w:rsid w:val="00B95CAA"/>
    <w:rsid w:val="00BF151E"/>
    <w:rsid w:val="00BF48F2"/>
    <w:rsid w:val="00C02467"/>
    <w:rsid w:val="00C47598"/>
    <w:rsid w:val="00C52C61"/>
    <w:rsid w:val="00C65087"/>
    <w:rsid w:val="00C85A8E"/>
    <w:rsid w:val="00D107F9"/>
    <w:rsid w:val="00D33966"/>
    <w:rsid w:val="00D61A0D"/>
    <w:rsid w:val="00D626DB"/>
    <w:rsid w:val="00D867A4"/>
    <w:rsid w:val="00D900B5"/>
    <w:rsid w:val="00D94560"/>
    <w:rsid w:val="00D95ADA"/>
    <w:rsid w:val="00DB512D"/>
    <w:rsid w:val="00DC2AB3"/>
    <w:rsid w:val="00DF4335"/>
    <w:rsid w:val="00E0773B"/>
    <w:rsid w:val="00E620D0"/>
    <w:rsid w:val="00EA3272"/>
    <w:rsid w:val="00EA4196"/>
    <w:rsid w:val="00EB454B"/>
    <w:rsid w:val="00EF745D"/>
    <w:rsid w:val="00F40EFD"/>
    <w:rsid w:val="00F508FE"/>
    <w:rsid w:val="00F732D7"/>
    <w:rsid w:val="00F81180"/>
    <w:rsid w:val="00FA288E"/>
    <w:rsid w:val="00FD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D5C014"/>
  <w15:chartTrackingRefBased/>
  <w15:docId w15:val="{BF1D692B-15FF-0640-BA8E-72C11991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EC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C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C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C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C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C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C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554F3"/>
    <w:pPr>
      <w:spacing w:after="0"/>
    </w:pPr>
    <w:rPr>
      <w:rFonts w:ascii="Times New Roman" w:eastAsia="宋体" w:hAnsi="Times New Roman"/>
      <w:sz w:val="21"/>
    </w:rPr>
    <w:tblPr>
      <w:tblBorders>
        <w:top w:val="single" w:sz="12" w:space="0" w:color="auto"/>
        <w:bottom w:val="single" w:sz="12" w:space="0" w:color="auto"/>
      </w:tblBorders>
    </w:tblPr>
  </w:style>
  <w:style w:type="table" w:styleId="a4">
    <w:name w:val="Table Grid"/>
    <w:aliases w:val="三线表·"/>
    <w:basedOn w:val="a1"/>
    <w:uiPriority w:val="39"/>
    <w:rsid w:val="000554F3"/>
    <w:pPr>
      <w:spacing w:after="0"/>
    </w:pPr>
    <w:rPr>
      <w:rFonts w:ascii="Times New Roman" w:eastAsia="宋体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6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226EC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6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6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6EC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6EC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26EC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6EC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6EC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6EC4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226E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226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226EC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226E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226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226EC4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226EC4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226EC4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226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226EC4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226EC4"/>
    <w:rPr>
      <w:b/>
      <w:bCs/>
      <w:smallCaps/>
      <w:color w:val="0F4761" w:themeColor="accent1" w:themeShade="BF"/>
      <w:spacing w:val="5"/>
    </w:rPr>
  </w:style>
  <w:style w:type="paragraph" w:styleId="af0">
    <w:name w:val="caption"/>
    <w:basedOn w:val="a"/>
    <w:next w:val="a"/>
    <w:uiPriority w:val="35"/>
    <w:unhideWhenUsed/>
    <w:qFormat/>
    <w:rsid w:val="00DB512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a59062</dc:creator>
  <cp:keywords/>
  <dc:description/>
  <cp:lastModifiedBy>a59062</cp:lastModifiedBy>
  <cp:revision>3</cp:revision>
  <dcterms:created xsi:type="dcterms:W3CDTF">2025-12-29T12:27:00Z</dcterms:created>
  <dcterms:modified xsi:type="dcterms:W3CDTF">2025-12-29T13:23:00Z</dcterms:modified>
</cp:coreProperties>
</file>