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ABAF9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 Regular" w:hAnsi="Times New Roman Regular" w:eastAsia="Times New Roman Regular" w:cs="Times New Roman Regular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Times New Roman Regular" w:hAnsi="Times New Roman Regular" w:eastAsia="Times New Roman Regular" w:cs="Times New Roman Regular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Supplementary Material</w:t>
      </w:r>
      <w:r>
        <w:rPr>
          <w:rFonts w:hint="default" w:ascii="Times New Roman Regular" w:hAnsi="Times New Roman Regular" w:eastAsia="Times New Roman Regular" w:cs="Times New Roman Regular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 xml:space="preserve"> 1</w:t>
      </w:r>
    </w:p>
    <w:bookmarkEnd w:id="0"/>
    <w:p w14:paraId="1B6544EE"/>
    <w:p w14:paraId="0B716D0F"/>
    <w:p w14:paraId="5C33D2B6"/>
    <w:tbl>
      <w:tblPr>
        <w:tblStyle w:val="2"/>
        <w:tblW w:w="76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7"/>
        <w:gridCol w:w="2630"/>
        <w:gridCol w:w="2263"/>
      </w:tblGrid>
      <w:tr w14:paraId="52E53DFC">
        <w:trPr>
          <w:trHeight w:val="360" w:hRule="atLeast"/>
          <w:jc w:val="center"/>
        </w:trPr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127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Parameter</w:t>
            </w:r>
          </w:p>
        </w:tc>
        <w:tc>
          <w:tcPr>
            <w:tcW w:w="2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DAE3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Category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860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Points</w:t>
            </w:r>
          </w:p>
        </w:tc>
      </w:tr>
      <w:tr w14:paraId="7B407559">
        <w:trPr>
          <w:trHeight w:val="366" w:hRule="atLeast"/>
          <w:jc w:val="center"/>
        </w:trPr>
        <w:tc>
          <w:tcPr>
            <w:tcW w:w="2747" w:type="dxa"/>
            <w:vMerge w:val="restart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5E7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2630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316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 50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9C9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6D94853">
        <w:trPr>
          <w:trHeight w:val="375" w:hRule="atLeast"/>
          <w:jc w:val="center"/>
        </w:trPr>
        <w:tc>
          <w:tcPr>
            <w:tcW w:w="2747" w:type="dxa"/>
            <w:vMerge w:val="continue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982A9D9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A43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51 - 80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71F1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0CDE4576">
        <w:trPr>
          <w:trHeight w:val="375" w:hRule="atLeast"/>
          <w:jc w:val="center"/>
        </w:trPr>
        <w:tc>
          <w:tcPr>
            <w:tcW w:w="2747" w:type="dxa"/>
            <w:vMerge w:val="continue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E5759BB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277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 80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B66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 w14:paraId="08E40929">
        <w:trPr>
          <w:trHeight w:val="366" w:hRule="atLeast"/>
          <w:jc w:val="center"/>
        </w:trPr>
        <w:tc>
          <w:tcPr>
            <w:tcW w:w="2747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8D1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SpO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256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 96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7121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ED155E1">
        <w:trPr>
          <w:trHeight w:val="375" w:hRule="atLeast"/>
          <w:jc w:val="center"/>
        </w:trPr>
        <w:tc>
          <w:tcPr>
            <w:tcW w:w="2747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91F7285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D588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91 - 95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F1A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721E53BD">
        <w:trPr>
          <w:trHeight w:val="375" w:hRule="atLeast"/>
          <w:jc w:val="center"/>
        </w:trPr>
        <w:tc>
          <w:tcPr>
            <w:tcW w:w="2747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7BEE467C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944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 90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E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</w:tr>
      <w:tr w14:paraId="351546AA">
        <w:trPr>
          <w:trHeight w:val="340" w:hRule="atLeast"/>
          <w:jc w:val="center"/>
        </w:trPr>
        <w:tc>
          <w:tcPr>
            <w:tcW w:w="2747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4830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Respiratory tract infection within 1 month</w:t>
            </w: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7F3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7B20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C815041">
        <w:trPr>
          <w:trHeight w:val="375" w:hRule="atLeast"/>
          <w:jc w:val="center"/>
        </w:trPr>
        <w:tc>
          <w:tcPr>
            <w:tcW w:w="2747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AE9BACD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8E1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E48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 w14:paraId="657B5007">
        <w:trPr>
          <w:trHeight w:val="300" w:hRule="atLeast"/>
          <w:jc w:val="center"/>
        </w:trPr>
        <w:tc>
          <w:tcPr>
            <w:tcW w:w="2747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C658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anemia (Hb ≤ 10 g/dL)</w:t>
            </w: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689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808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1BE63AF">
        <w:trPr>
          <w:trHeight w:val="375" w:hRule="atLeast"/>
          <w:jc w:val="center"/>
        </w:trPr>
        <w:tc>
          <w:tcPr>
            <w:tcW w:w="2747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3E87BEA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20C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65B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7D88B60F">
        <w:trPr>
          <w:trHeight w:val="366" w:hRule="atLeast"/>
          <w:jc w:val="center"/>
        </w:trPr>
        <w:tc>
          <w:tcPr>
            <w:tcW w:w="2747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F63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Surgical incision site</w:t>
            </w: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567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Peripheral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043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B8E7D9C">
        <w:trPr>
          <w:trHeight w:val="421" w:hRule="atLeast"/>
          <w:jc w:val="center"/>
        </w:trPr>
        <w:tc>
          <w:tcPr>
            <w:tcW w:w="2747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B2609A8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4719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Upper abdominal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175D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 w14:paraId="077D5A44">
        <w:trPr>
          <w:trHeight w:val="375" w:hRule="atLeast"/>
          <w:jc w:val="center"/>
        </w:trPr>
        <w:tc>
          <w:tcPr>
            <w:tcW w:w="2747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81D4E75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2653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Intrathoracic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A74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</w:tr>
      <w:tr w14:paraId="0B66258C">
        <w:trPr>
          <w:trHeight w:val="366" w:hRule="atLeast"/>
          <w:jc w:val="center"/>
        </w:trPr>
        <w:tc>
          <w:tcPr>
            <w:tcW w:w="2747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018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Surgical duration</w:t>
            </w: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44B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 2 hours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7389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162B4B8">
        <w:trPr>
          <w:trHeight w:val="375" w:hRule="atLeast"/>
          <w:jc w:val="center"/>
        </w:trPr>
        <w:tc>
          <w:tcPr>
            <w:tcW w:w="2747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6D691AD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CE3D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2 - 3 hours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E0F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 w14:paraId="50C22E70">
        <w:trPr>
          <w:trHeight w:val="375" w:hRule="atLeast"/>
          <w:jc w:val="center"/>
        </w:trPr>
        <w:tc>
          <w:tcPr>
            <w:tcW w:w="2747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4D1E73B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0BD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 3 hours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FCE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</w:tr>
      <w:tr w14:paraId="15539145">
        <w:trPr>
          <w:trHeight w:val="366" w:hRule="atLeast"/>
          <w:jc w:val="center"/>
        </w:trPr>
        <w:tc>
          <w:tcPr>
            <w:tcW w:w="2747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B42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Emergency surgery</w:t>
            </w: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9C5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0A2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77D1876">
        <w:trPr>
          <w:trHeight w:val="360" w:hRule="atLeast"/>
          <w:jc w:val="center"/>
        </w:trPr>
        <w:tc>
          <w:tcPr>
            <w:tcW w:w="2747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07BBEB57"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0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174A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63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6BCD8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</w:tbl>
    <w:p w14:paraId="704B7A1D">
      <w:pPr>
        <w:widowControl/>
        <w:spacing w:line="360" w:lineRule="auto"/>
        <w:rPr>
          <w:rFonts w:hint="default" w:ascii="Times New Roman Bold" w:hAnsi="Times New Roman Bold" w:eastAsia="Songti SC" w:cs="Times New Roman Bold"/>
          <w:b/>
          <w:bCs/>
          <w:szCs w:val="21"/>
        </w:rPr>
      </w:pPr>
    </w:p>
    <w:p w14:paraId="0A9DF687">
      <w:pPr>
        <w:widowControl/>
        <w:spacing w:line="360" w:lineRule="auto"/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 Bold" w:hAnsi="Times New Roman Bold" w:eastAsia="Songti SC" w:cs="Times New Roman Bold"/>
          <w:b/>
          <w:bCs/>
          <w:szCs w:val="21"/>
        </w:rPr>
        <w:t>Table 1</w:t>
      </w:r>
      <w:r>
        <w:rPr>
          <w:rFonts w:hint="default" w:ascii="Times New Roman Bold" w:hAnsi="Times New Roman Bold" w:eastAsia="Songti SC" w:cs="Times New Roman Bold"/>
          <w:b/>
          <w:bCs/>
          <w:szCs w:val="21"/>
          <w:lang w:val="en-US" w:eastAsia="zh-CN"/>
        </w:rPr>
        <w:t>.</w:t>
      </w:r>
      <w:r>
        <w:rPr>
          <w:rFonts w:hint="default" w:ascii="Times New Roman Bold" w:hAnsi="Times New Roman Bold" w:eastAsia="Songti SC" w:cs="Times New Roman Bold"/>
          <w:b/>
          <w:bCs/>
          <w:szCs w:val="21"/>
        </w:rPr>
        <w:t>ARISCAT score components and corresponding points</w:t>
      </w:r>
      <w:r>
        <w:rPr>
          <w:rFonts w:hint="default" w:ascii="Times New Roman Bold" w:hAnsi="Times New Roman Bold" w:eastAsia="Songti SC" w:cs="Times New Roman Bold"/>
          <w:b/>
          <w:bCs/>
          <w:szCs w:val="21"/>
          <w:lang w:val="en-US"/>
        </w:rPr>
        <w:fldChar w:fldCharType="begin"/>
      </w:r>
      <w:r>
        <w:rPr>
          <w:rFonts w:hint="eastAsia" w:ascii="Times New Roman Bold" w:hAnsi="Times New Roman Bold" w:eastAsia="Songti SC" w:cs="Times New Roman Bold"/>
          <w:b/>
          <w:bCs/>
          <w:szCs w:val="21"/>
          <w:lang w:val="en-US" w:eastAsia="zh-CN"/>
        </w:rPr>
        <w:instrText xml:space="preserve"> ADDIN  EN.CITE &lt;EndNote&gt;&lt;Cite&gt;&lt;Author&gt;Chikkala,Pratyusha et al.&lt;/Author&gt;&lt;Year&gt;2025&lt;/Year&gt;&lt;RecNum&gt;30&lt;/RecNum&gt;&lt;formattype&gt;0&lt;/formattype&gt;&lt;excludeauth&gt;0&lt;/excludeauth&gt;&lt;excludeyear&gt;0&lt;/excludeyear&gt;&lt;record&gt;&lt;rec-number&gt;30&lt;/rec-number&gt;&lt;foreign-keys&gt;&lt;key app="EN" db-id="r0wpzdz21p9swhezts45avphrt5drzrepe9d"&gt;30&lt;/key&gt;&lt;/foreign-keys&gt;Journal Article&lt;contributors&gt;&lt;authors&gt;&lt;author&gt;Chikkala, R. K. P.&lt;/author&gt;&lt;author&gt;Pratyusha, A. C.&lt;/author&gt;&lt;author&gt;Durga, P.&lt;/author&gt;&lt;author&gt;Patlolla, P.&lt;/author&gt;&lt;author&gt;Ponduru, S.&lt;/author&gt;&lt;author&gt;Rajasekhar, M.&lt;/author&gt;&lt;author&gt;Sanapala, V.&lt;/author&gt;&lt;/authors&gt;&lt;/contributors&gt;&lt;titles&gt;&lt;title&gt;Validation of the Assess Respiratory Risk in Surgical Patients in Catalonia (ARISCAT) Score for Predicting Postoperative Pulmonary Complications After Laparotomy in an Indian Population in the Present Era: A Retrospective Study&lt;/title&gt;&lt;/titles&gt;&lt;dates&gt;&lt;year&gt;2025&lt;/year&gt;&lt;/dates&gt;&lt;urls&gt;&lt;/urls&gt;&lt;/record&gt;&lt;/Cite&gt;&lt;/EndNote&gt;</w:instrText>
      </w:r>
      <w:r>
        <w:rPr>
          <w:rFonts w:hint="default" w:ascii="Times New Roman Bold" w:hAnsi="Times New Roman Bold" w:eastAsia="Songti SC" w:cs="Times New Roman Bold"/>
          <w:b/>
          <w:bCs/>
          <w:szCs w:val="21"/>
          <w:lang w:val="en-US"/>
        </w:rPr>
        <w:fldChar w:fldCharType="separate"/>
      </w:r>
      <w:r>
        <w:rPr>
          <w:rFonts w:hint="eastAsia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[5]</w: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fldChar w:fldCharType="end"/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.</w:t>
      </w:r>
    </w:p>
    <w:p w14:paraId="1E7A9776">
      <w:pPr>
        <w:widowControl/>
        <w:spacing w:line="360" w:lineRule="auto"/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</w:pPr>
    </w:p>
    <w:p w14:paraId="1A341C45">
      <w:pPr>
        <w:widowControl/>
        <w:spacing w:line="360" w:lineRule="auto"/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</w:pPr>
    </w:p>
    <w:tbl>
      <w:tblPr>
        <w:tblStyle w:val="2"/>
        <w:tblW w:w="113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680"/>
        <w:gridCol w:w="2885"/>
        <w:gridCol w:w="4915"/>
      </w:tblGrid>
      <w:tr w14:paraId="41C3A388">
        <w:trPr>
          <w:trHeight w:val="581" w:hRule="atLeast"/>
          <w:jc w:val="center"/>
        </w:trPr>
        <w:tc>
          <w:tcPr>
            <w:tcW w:w="1900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shd w:val="clear" w:color="auto" w:fill="FFFFFF"/>
            <w:noWrap w:val="0"/>
            <w:vAlign w:val="center"/>
          </w:tcPr>
          <w:p w14:paraId="1848C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Songti SC" w:cs="Times New Roman Bold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Songti SC" w:cs="Times New Roman Bold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Risk Grade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shd w:val="clear" w:color="auto" w:fill="FFFFFF"/>
            <w:noWrap w:val="0"/>
            <w:vAlign w:val="center"/>
          </w:tcPr>
          <w:p w14:paraId="2781C303">
            <w:pPr>
              <w:widowControl/>
              <w:spacing w:line="360" w:lineRule="auto"/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Songti SC" w:cs="Times New Roman Bold"/>
                <w:b/>
                <w:bCs/>
                <w:szCs w:val="21"/>
                <w:lang w:val="en-US" w:eastAsia="zh-CN"/>
              </w:rPr>
              <w:t>Total Score</w:t>
            </w:r>
          </w:p>
        </w:tc>
        <w:tc>
          <w:tcPr>
            <w:tcW w:w="2885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shd w:val="clear" w:color="auto" w:fill="FFFFFF"/>
            <w:noWrap w:val="0"/>
            <w:vAlign w:val="center"/>
          </w:tcPr>
          <w:p w14:paraId="7E00AB82">
            <w:pPr>
              <w:widowControl/>
              <w:spacing w:line="360" w:lineRule="auto"/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Songti SC" w:cs="Times New Roman Bold"/>
                <w:b/>
                <w:bCs/>
                <w:szCs w:val="21"/>
                <w:lang w:val="en-US" w:eastAsia="zh-CN"/>
              </w:rPr>
              <w:t>Predicted PPCs Incidence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shd w:val="clear" w:color="auto" w:fill="FFFFFF"/>
            <w:noWrap w:val="0"/>
            <w:vAlign w:val="center"/>
          </w:tcPr>
          <w:p w14:paraId="683E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Clinical Recommendations</w:t>
            </w:r>
          </w:p>
        </w:tc>
      </w:tr>
      <w:tr w14:paraId="1647880A">
        <w:trPr>
          <w:trHeight w:val="620" w:hRule="atLeast"/>
          <w:jc w:val="center"/>
        </w:trPr>
        <w:tc>
          <w:tcPr>
            <w:tcW w:w="1900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74E9165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Low risk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9A06BF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&lt; 26</w:t>
            </w:r>
          </w:p>
        </w:tc>
        <w:tc>
          <w:tcPr>
            <w:tcW w:w="2885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755A09B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Approximately 5%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79F2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Routine perioperative management without intensive intervention</w:t>
            </w:r>
          </w:p>
        </w:tc>
      </w:tr>
      <w:tr w14:paraId="32679F85">
        <w:trPr>
          <w:trHeight w:val="635" w:hRule="atLeast"/>
          <w:jc w:val="center"/>
        </w:trPr>
        <w:tc>
          <w:tcPr>
            <w:tcW w:w="190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CF94A4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Moderate risk</w:t>
            </w:r>
          </w:p>
        </w:tc>
        <w:tc>
          <w:tcPr>
            <w:tcW w:w="168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9D3EC2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26~44</w:t>
            </w:r>
          </w:p>
        </w:tc>
        <w:tc>
          <w:tcPr>
            <w:tcW w:w="2885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96A6FC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Approximately 13%</w:t>
            </w:r>
          </w:p>
        </w:tc>
        <w:tc>
          <w:tcPr>
            <w:tcW w:w="4915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49C6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Optimize respiratory function, postoperative analgesia, and early mobilization</w:t>
            </w:r>
          </w:p>
        </w:tc>
      </w:tr>
      <w:tr w14:paraId="7DFAC481">
        <w:trPr>
          <w:trHeight w:val="953" w:hRule="atLeast"/>
          <w:jc w:val="center"/>
        </w:trPr>
        <w:tc>
          <w:tcPr>
            <w:tcW w:w="1900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7198F0E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High risk</w:t>
            </w:r>
          </w:p>
        </w:tc>
        <w:tc>
          <w:tcPr>
            <w:tcW w:w="1680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6501FCF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≥ 45</w:t>
            </w:r>
          </w:p>
        </w:tc>
        <w:tc>
          <w:tcPr>
            <w:tcW w:w="2885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48450AA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Times New Roman Regular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Approximately 42%</w:t>
            </w:r>
          </w:p>
        </w:tc>
        <w:tc>
          <w:tcPr>
            <w:tcW w:w="4915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3F8C1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szCs w:val="21"/>
                <w:lang w:val="en-US" w:eastAsia="zh-CN"/>
              </w:rPr>
              <w:t>Preoperative respiratory rehabilitation, intraoperative lung-protective ventilation, and postoperative ICU/HDU monitoring</w:t>
            </w:r>
          </w:p>
        </w:tc>
      </w:tr>
    </w:tbl>
    <w:p w14:paraId="382EDB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 Bold" w:hAnsi="Times New Roman Bold" w:eastAsia="Songti SC" w:cs="Times New Roman Bold"/>
          <w:b/>
          <w:bCs/>
          <w:szCs w:val="21"/>
        </w:rPr>
        <w:t>Table 2</w:t>
      </w:r>
      <w:r>
        <w:rPr>
          <w:rFonts w:hint="default" w:ascii="Times New Roman Bold" w:hAnsi="Times New Roman Bold" w:eastAsia="Songti SC" w:cs="Times New Roman Bold"/>
          <w:b/>
          <w:bCs/>
          <w:szCs w:val="21"/>
          <w:lang w:val="en-US" w:eastAsia="zh-CN"/>
        </w:rPr>
        <w:t>.</w:t>
      </w:r>
      <w:r>
        <w:rPr>
          <w:rFonts w:hint="default" w:ascii="Times New Roman Bold" w:hAnsi="Times New Roman Bold" w:eastAsia="Songti SC" w:cs="Times New Roman Bold"/>
          <w:b/>
          <w:bCs/>
          <w:szCs w:val="21"/>
        </w:rPr>
        <w:t>ARISCAT risk stratification and predicted incidence of PPCs</w:t>
      </w:r>
      <w:r>
        <w:rPr>
          <w:rFonts w:hint="default" w:ascii="Times New Roman Bold" w:hAnsi="Times New Roman Bold" w:eastAsia="Songti SC" w:cs="Times New Roman Bold"/>
          <w:b/>
          <w:bCs/>
          <w:szCs w:val="21"/>
          <w:lang w:val="en-US"/>
        </w:rPr>
        <w:fldChar w:fldCharType="begin"/>
      </w:r>
      <w:r>
        <w:rPr>
          <w:rFonts w:hint="eastAsia" w:ascii="Times New Roman Bold" w:hAnsi="Times New Roman Bold" w:eastAsia="Songti SC" w:cs="Times New Roman Bold"/>
          <w:b/>
          <w:bCs/>
          <w:szCs w:val="21"/>
          <w:lang w:val="en-US" w:eastAsia="zh-CN"/>
        </w:rPr>
        <w:instrText xml:space="preserve"> ADDIN  EN.CITE &lt;EndNote&gt;&lt;Cite&gt;&lt;Author&gt;Chikkala,Pratyusha et al.&lt;/Author&gt;&lt;Year&gt;2025&lt;/Year&gt;&lt;RecNum&gt;30&lt;/RecNum&gt;&lt;formattype&gt;0&lt;/formattype&gt;&lt;excludeauth&gt;0&lt;/excludeauth&gt;&lt;excludeyear&gt;0&lt;/excludeyear&gt;&lt;record&gt;&lt;rec-number&gt;30&lt;/rec-number&gt;&lt;foreign-keys&gt;&lt;key app="EN" db-id="r0wpzdz21p9swhezts45avphrt5drzrepe9d"&gt;30&lt;/key&gt;&lt;/foreign-keys&gt;Journal Article&lt;contributors&gt;&lt;authors&gt;&lt;author&gt;Chikkala, R. K. P.&lt;/author&gt;&lt;author&gt;Pratyusha, A. C.&lt;/author&gt;&lt;author&gt;Durga, P.&lt;/author&gt;&lt;author&gt;Patlolla, P.&lt;/author&gt;&lt;author&gt;Ponduru, S.&lt;/author&gt;&lt;author&gt;Rajasekhar, M.&lt;/author&gt;&lt;author&gt;Sanapala, V.&lt;/author&gt;&lt;/authors&gt;&lt;/contributors&gt;&lt;titles&gt;&lt;title&gt;Validation of the Assess Respiratory Risk in Surgical Patients in Catalonia (ARISCAT) Score for Predicting Postoperative Pulmonary Complications After Laparotomy in an Indian Population in the Present Era: A Retrospective Study&lt;/title&gt;&lt;/titles&gt;&lt;dates&gt;&lt;year&gt;2025&lt;/year&gt;&lt;/dates&gt;&lt;urls&gt;&lt;/urls&gt;&lt;/record&gt;&lt;/Cite&gt;&lt;/EndNote&gt;</w:instrText>
      </w:r>
      <w:r>
        <w:rPr>
          <w:rFonts w:hint="default" w:ascii="Times New Roman Bold" w:hAnsi="Times New Roman Bold" w:eastAsia="Songti SC" w:cs="Times New Roman Bold"/>
          <w:b/>
          <w:bCs/>
          <w:szCs w:val="21"/>
          <w:lang w:val="en-US"/>
        </w:rPr>
        <w:fldChar w:fldCharType="separate"/>
      </w:r>
      <w:r>
        <w:rPr>
          <w:rFonts w:hint="eastAsia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[5]</w: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fldChar w:fldCharType="end"/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.</w:t>
      </w:r>
    </w:p>
    <w:tbl>
      <w:tblPr>
        <w:tblStyle w:val="2"/>
        <w:tblpPr w:leftFromText="180" w:rightFromText="180" w:vertAnchor="text" w:horzAnchor="page" w:tblpX="1093" w:tblpY="773"/>
        <w:tblOverlap w:val="never"/>
        <w:tblW w:w="99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  <w:gridCol w:w="5214"/>
        <w:gridCol w:w="2650"/>
      </w:tblGrid>
      <w:tr w14:paraId="3E97220D">
        <w:trPr>
          <w:trHeight w:val="374" w:hRule="atLeast"/>
        </w:trPr>
        <w:tc>
          <w:tcPr>
            <w:tcW w:w="2116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27A61EB8">
            <w:pPr>
              <w:widowControl/>
              <w:spacing w:line="360" w:lineRule="auto"/>
              <w:jc w:val="center"/>
              <w:rPr>
                <w:rFonts w:hint="default" w:ascii="Times New Roman Bold" w:hAnsi="Times New Roman Bold" w:eastAsia="Songti SC" w:cs="Times New Roman Bold"/>
                <w:b/>
                <w:bCs/>
                <w:szCs w:val="21"/>
              </w:rPr>
            </w:pPr>
            <w:r>
              <w:rPr>
                <w:rFonts w:hint="default" w:ascii="Times New Roman Bold" w:hAnsi="Times New Roman Bold" w:eastAsia="Songti SC" w:cs="Times New Roman Bold"/>
                <w:b/>
                <w:bCs/>
                <w:szCs w:val="21"/>
                <w:lang w:val="en-US" w:eastAsia="zh-CN"/>
              </w:rPr>
              <w:t>Parameter</w:t>
            </w:r>
          </w:p>
        </w:tc>
        <w:tc>
          <w:tcPr>
            <w:tcW w:w="5214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73A212FC">
            <w:pPr>
              <w:widowControl/>
              <w:spacing w:line="360" w:lineRule="auto"/>
              <w:jc w:val="center"/>
              <w:rPr>
                <w:rFonts w:hint="default" w:ascii="Times New Roman Bold" w:hAnsi="Times New Roman Bold" w:eastAsia="Songti SC" w:cs="Times New Roman Bold"/>
                <w:b/>
                <w:bCs/>
                <w:szCs w:val="21"/>
              </w:rPr>
            </w:pPr>
            <w:r>
              <w:rPr>
                <w:rFonts w:hint="default" w:ascii="Times New Roman Bold" w:hAnsi="Times New Roman Bold" w:eastAsia="Songti SC" w:cs="Times New Roman Bold"/>
                <w:b/>
                <w:bCs/>
                <w:szCs w:val="21"/>
                <w:lang w:val="en-US" w:eastAsia="zh-CN"/>
              </w:rPr>
              <w:t>Category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62F835E8">
            <w:pPr>
              <w:widowControl/>
              <w:spacing w:line="360" w:lineRule="auto"/>
              <w:jc w:val="center"/>
              <w:rPr>
                <w:rFonts w:hint="default" w:ascii="Times New Roman Bold" w:hAnsi="Times New Roman Bold" w:eastAsia="Songti SC" w:cs="Times New Roman Bold"/>
                <w:b/>
                <w:bCs/>
                <w:szCs w:val="21"/>
              </w:rPr>
            </w:pPr>
            <w:r>
              <w:rPr>
                <w:rFonts w:hint="default" w:ascii="Times New Roman Bold" w:hAnsi="Times New Roman Bold" w:eastAsia="Songti SC" w:cs="Times New Roman Bold"/>
                <w:b/>
                <w:bCs/>
                <w:szCs w:val="21"/>
                <w:lang w:val="en-US" w:eastAsia="zh-CN"/>
              </w:rPr>
              <w:t>Regression Co</w:t>
            </w:r>
            <w:r>
              <w:rPr>
                <w:rFonts w:hint="eastAsia" w:ascii="Times New Roman Bold" w:hAnsi="Times New Roman Bold" w:eastAsia="Songti SC" w:cs="Times New Roman Bold"/>
                <w:b/>
                <w:bCs/>
                <w:szCs w:val="21"/>
                <w:lang w:val="en-US" w:eastAsia="zh-CN"/>
              </w:rPr>
              <w:t>-</w:t>
            </w:r>
            <w:r>
              <w:rPr>
                <w:rFonts w:hint="default" w:ascii="Times New Roman Bold" w:hAnsi="Times New Roman Bold" w:eastAsia="Songti SC" w:cs="Times New Roman Bold"/>
                <w:b/>
                <w:bCs/>
                <w:szCs w:val="21"/>
                <w:lang w:val="en-US" w:eastAsia="zh-CN"/>
              </w:rPr>
              <w:t>efficient</w:t>
            </w:r>
          </w:p>
        </w:tc>
      </w:tr>
      <w:tr w14:paraId="6A3C4736">
        <w:trPr>
          <w:trHeight w:val="363" w:hRule="atLeast"/>
        </w:trPr>
        <w:tc>
          <w:tcPr>
            <w:tcW w:w="2116" w:type="dxa"/>
            <w:vMerge w:val="restart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7AF75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Functional Status</w:t>
            </w:r>
          </w:p>
        </w:tc>
        <w:tc>
          <w:tcPr>
            <w:tcW w:w="5214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A05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Independent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0ECF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1563FCE9">
        <w:trPr>
          <w:trHeight w:val="37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930D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6BA9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Partially dependent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8A6C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0.7678</w:t>
            </w:r>
          </w:p>
        </w:tc>
      </w:tr>
      <w:tr w14:paraId="426EDD86">
        <w:trPr>
          <w:trHeight w:val="37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E070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3EAB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Totally dependent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8AF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1.4046</w:t>
            </w:r>
          </w:p>
        </w:tc>
      </w:tr>
      <w:tr w14:paraId="1554CBD5">
        <w:trPr>
          <w:trHeight w:val="340" w:hRule="atLeast"/>
        </w:trPr>
        <w:tc>
          <w:tcPr>
            <w:tcW w:w="2116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1C4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ASA Physical Status</w:t>
            </w: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E97F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Class 1 (Normal healthy)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94EA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-3.5265</w:t>
            </w:r>
          </w:p>
        </w:tc>
      </w:tr>
      <w:tr w14:paraId="648D61B1">
        <w:trPr>
          <w:trHeight w:val="37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7BDF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EB30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Class 2 (Mild systemic disease)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A68C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-2.0008</w:t>
            </w:r>
          </w:p>
        </w:tc>
      </w:tr>
      <w:tr w14:paraId="702FC5B0">
        <w:trPr>
          <w:trHeight w:val="37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DD0F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D5B8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Class 3 (Severe systemic disease)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B065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-0.6707</w:t>
            </w:r>
          </w:p>
        </w:tc>
      </w:tr>
      <w:tr w14:paraId="0269F7B4">
        <w:trPr>
          <w:trHeight w:val="37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0DC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97C8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Class 4 (Life-threatening systemic disease)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8E98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0.6926</w:t>
            </w:r>
          </w:p>
        </w:tc>
      </w:tr>
      <w:tr w14:paraId="3C893D37">
        <w:trPr>
          <w:trHeight w:val="73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8FF6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50F2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Class 5 (Moribund; su</w:t>
            </w:r>
            <w:r>
              <w:rPr>
                <w:rFonts w:hint="eastAsia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r</w:t>
            </w: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ge</w:t>
            </w:r>
            <w:r>
              <w:rPr>
                <w:rFonts w:hint="eastAsia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r</w:t>
            </w: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y as sole chance of survival)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9DAB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2.8533</w:t>
            </w:r>
          </w:p>
        </w:tc>
      </w:tr>
      <w:tr w14:paraId="0F408AB7">
        <w:trPr>
          <w:trHeight w:val="366" w:hRule="atLeast"/>
        </w:trPr>
        <w:tc>
          <w:tcPr>
            <w:tcW w:w="2116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D000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Preoperative Sepsis</w:t>
            </w: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F2F9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No sepsis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6371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6C53C0C4">
        <w:trPr>
          <w:trHeight w:val="90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A4F9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846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With sepsis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5AC3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1.3261</w:t>
            </w:r>
          </w:p>
        </w:tc>
      </w:tr>
      <w:tr w14:paraId="59183E96">
        <w:trPr>
          <w:trHeight w:val="340" w:hRule="atLeast"/>
        </w:trPr>
        <w:tc>
          <w:tcPr>
            <w:tcW w:w="2116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EF4A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Type of Procedure</w:t>
            </w: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7D10A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Otolaryngology/ophthalmology/superficial surgery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5B9A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7ECDE65">
        <w:trPr>
          <w:trHeight w:val="37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BA3B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91E8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Orthopedics (non-spinal)/urology/gynecology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278D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0.4368</w:t>
            </w:r>
          </w:p>
        </w:tc>
      </w:tr>
      <w:tr w14:paraId="6C4F5750">
        <w:trPr>
          <w:trHeight w:val="381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3BBA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5046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Vascular (non-aortic)/spinal/abdominal (non-major)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A2DD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0.8375</w:t>
            </w:r>
          </w:p>
        </w:tc>
      </w:tr>
      <w:tr w14:paraId="4A1EC46F">
        <w:trPr>
          <w:trHeight w:val="35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468E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AFAD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Aortic/intestinal/esophageal/thoracic (non-esophageal)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766E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1.2345</w:t>
            </w:r>
          </w:p>
        </w:tc>
      </w:tr>
      <w:tr w14:paraId="61122FEC">
        <w:trPr>
          <w:trHeight w:val="37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24A5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D344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Esophageal/other high-risk surgery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C5EB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1.8508</w:t>
            </w:r>
          </w:p>
        </w:tc>
      </w:tr>
      <w:tr w14:paraId="75776F46">
        <w:trPr>
          <w:trHeight w:val="283" w:hRule="atLeast"/>
        </w:trPr>
        <w:tc>
          <w:tcPr>
            <w:tcW w:w="2116" w:type="dxa"/>
            <w:vMerge w:val="restart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3B848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Emergency Case</w:t>
            </w: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4F926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Non-emergency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5E06F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76F329E">
        <w:trPr>
          <w:trHeight w:val="375" w:hRule="atLeast"/>
        </w:trPr>
        <w:tc>
          <w:tcPr>
            <w:tcW w:w="2116" w:type="dxa"/>
            <w:vMerge w:val="continue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32FB0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7A67A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Emergency</w:t>
            </w:r>
          </w:p>
        </w:tc>
        <w:tc>
          <w:tcPr>
            <w:tcW w:w="2650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6247A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0.5912</w:t>
            </w:r>
          </w:p>
        </w:tc>
      </w:tr>
    </w:tbl>
    <w:p w14:paraId="5C6BA5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Songti SC" w:cs="Times New Roman"/>
          <w:b w:val="0"/>
          <w:bCs w:val="0"/>
          <w:kern w:val="2"/>
          <w:sz w:val="21"/>
          <w:szCs w:val="21"/>
          <w:lang w:val="en-US" w:eastAsia="zh-CN" w:bidi="ar-SA"/>
        </w:rPr>
      </w:pPr>
    </w:p>
    <w:p w14:paraId="11DA66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</w:pPr>
    </w:p>
    <w:p w14:paraId="212E58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 xml:space="preserve">Table </w:t>
      </w:r>
      <w:r>
        <w:rPr>
          <w:rFonts w:hint="eastAsia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3.</w: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 xml:space="preserve"> Parameters and regression co</w:t>
      </w:r>
      <w:r>
        <w:rPr>
          <w:rFonts w:hint="eastAsia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-</w: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efficients of the Gupta Postoperative Respiratory Failure Risk Score</w: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fldChar w:fldCharType="begin"/>
      </w:r>
      <w:r>
        <w:rPr>
          <w:rFonts w:hint="eastAsia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instrText xml:space="preserve"> ADDIN  EN.CITE &lt;EndNote&gt;&lt;Cite&gt;&lt;Author&gt;Gupta,Gupta et al.&lt;/Author&gt;&lt;Year&gt;2011&lt;/Year&gt;&lt;RecNum&gt;31&lt;/RecNum&gt;&lt;formattype&gt;0&lt;/formattype&gt;&lt;excludeauth&gt;0&lt;/excludeauth&gt;&lt;excludeyear&gt;0&lt;/excludeyear&gt;&lt;record&gt;&lt;rec-number&gt;31&lt;/rec-number&gt;&lt;foreign-keys&gt;&lt;key app="EN" db-id="r0wpzdz21p9swhezts45avphrt5drzrepe9d"&gt;31&lt;/key&gt;&lt;/foreign-keys&gt;Journal Article&lt;contributors&gt;&lt;authors&gt;&lt;author&gt;Gupta, H.&lt;/author&gt;&lt;author&gt;Gupta, P. K.&lt;/author&gt;&lt;author&gt;Fang, X.&lt;/author&gt;&lt;author&gt;Miller, W. J.&lt;/author&gt;&lt;author&gt;Cemaj, S.&lt;/author&gt;&lt;author&gt;Forse, R. A.&lt;/author&gt;&lt;author&gt;Morrow, L. E.&lt;/author&gt;&lt;/authors&gt;&lt;/contributors&gt;&lt;titles&gt;&lt;title&gt;Development and validation of a risk calculator predicting postoperative respiratory failure&lt;/title&gt;&lt;/titles&gt;&lt;dates&gt;&lt;year&gt;2011&lt;/year&gt;&lt;/dates&gt;&lt;urls&gt;&lt;/urls&gt;&lt;/record&gt;&lt;/Cite&gt;&lt;/EndNote&gt;</w:instrTex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fldChar w:fldCharType="separate"/>
      </w:r>
      <w:r>
        <w:rPr>
          <w:rFonts w:hint="eastAsia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[6]</w: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fldChar w:fldCharType="end"/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.</w:t>
      </w:r>
    </w:p>
    <w:p w14:paraId="3A4052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</w:pPr>
    </w:p>
    <w:tbl>
      <w:tblPr>
        <w:tblStyle w:val="2"/>
        <w:tblpPr w:leftFromText="180" w:rightFromText="180" w:vertAnchor="text" w:horzAnchor="page" w:tblpX="505" w:tblpY="156"/>
        <w:tblOverlap w:val="never"/>
        <w:tblW w:w="111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1982"/>
        <w:gridCol w:w="7023"/>
      </w:tblGrid>
      <w:tr w14:paraId="57483350">
        <w:trPr>
          <w:trHeight w:val="375" w:hRule="atLeast"/>
          <w:jc w:val="center"/>
        </w:trPr>
        <w:tc>
          <w:tcPr>
            <w:tcW w:w="2115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5952B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 Bold" w:hAnsi="Times New Roman Bold" w:eastAsia="Songti SC" w:cs="Times New Roman Bold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Bold" w:hAnsi="Times New Roman Bold" w:eastAsia="Songti SC" w:cs="Times New Roman Bold"/>
                <w:b/>
                <w:bCs/>
                <w:kern w:val="2"/>
                <w:sz w:val="21"/>
                <w:szCs w:val="21"/>
                <w:lang w:val="en-US" w:eastAsia="zh-CN" w:bidi="ar-SA"/>
              </w:rPr>
              <w:t>Risk Probability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28628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 Bold" w:hAnsi="Times New Roman Bold" w:eastAsia="Songti SC" w:cs="Times New Roman Bold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Bold" w:hAnsi="Times New Roman Bold" w:eastAsia="Songti SC" w:cs="Times New Roman Bold"/>
                <w:b/>
                <w:bCs/>
                <w:kern w:val="2"/>
                <w:sz w:val="21"/>
                <w:szCs w:val="21"/>
                <w:lang w:val="en-US" w:eastAsia="zh-CN" w:bidi="ar-SA"/>
              </w:rPr>
              <w:t>Risk Grade</w:t>
            </w:r>
          </w:p>
        </w:tc>
        <w:tc>
          <w:tcPr>
            <w:tcW w:w="7023" w:type="dxa"/>
            <w:tcBorders>
              <w:top w:val="single" w:color="auto" w:sz="4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7FA7C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 Bold" w:hAnsi="Times New Roman Bold" w:eastAsia="Songti SC" w:cs="Times New Roman Bold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Bold" w:hAnsi="Times New Roman Bold" w:eastAsia="Songti SC" w:cs="Times New Roman Bold"/>
                <w:b/>
                <w:bCs/>
                <w:kern w:val="2"/>
                <w:sz w:val="21"/>
                <w:szCs w:val="21"/>
                <w:lang w:val="en-US" w:eastAsia="zh-CN" w:bidi="ar-SA"/>
              </w:rPr>
              <w:t>Clinical Recommendations</w:t>
            </w:r>
          </w:p>
        </w:tc>
      </w:tr>
      <w:tr w14:paraId="386FDAB7">
        <w:trPr>
          <w:trHeight w:val="761" w:hRule="atLeast"/>
          <w:jc w:val="center"/>
        </w:trPr>
        <w:tc>
          <w:tcPr>
            <w:tcW w:w="2115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08EE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&lt; 5%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D353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Low risk</w:t>
            </w:r>
          </w:p>
        </w:tc>
        <w:tc>
          <w:tcPr>
            <w:tcW w:w="7023" w:type="dxa"/>
            <w:tcBorders>
              <w:top w:val="single" w:color="auto" w:sz="4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7140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Routine perioperative respiratory management; postoperative recovery in the PACU is sufficient.</w:t>
            </w:r>
          </w:p>
        </w:tc>
      </w:tr>
      <w:tr w14:paraId="0AA19439">
        <w:trPr>
          <w:trHeight w:val="862" w:hRule="atLeast"/>
          <w:jc w:val="center"/>
        </w:trPr>
        <w:tc>
          <w:tcPr>
            <w:tcW w:w="2115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1D369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5%–15%</w:t>
            </w:r>
          </w:p>
        </w:tc>
        <w:tc>
          <w:tcPr>
            <w:tcW w:w="1982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08B13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Moderate risk</w:t>
            </w:r>
          </w:p>
        </w:tc>
        <w:tc>
          <w:tcPr>
            <w:tcW w:w="7023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noWrap w:val="0"/>
            <w:vAlign w:val="center"/>
          </w:tcPr>
          <w:p w14:paraId="647BC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Strengthen preoperative pulmonary function optimization, refined intraoperative respiratory parameter regulation, and intensive postoperative monitoring.</w:t>
            </w:r>
          </w:p>
        </w:tc>
      </w:tr>
      <w:tr w14:paraId="49FC5461">
        <w:trPr>
          <w:trHeight w:val="988" w:hRule="atLeast"/>
          <w:jc w:val="center"/>
        </w:trPr>
        <w:tc>
          <w:tcPr>
            <w:tcW w:w="2115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3BCCA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&gt; 15%</w:t>
            </w:r>
          </w:p>
        </w:tc>
        <w:tc>
          <w:tcPr>
            <w:tcW w:w="1982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401B1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High risk</w:t>
            </w:r>
          </w:p>
        </w:tc>
        <w:tc>
          <w:tcPr>
            <w:tcW w:w="7023" w:type="dxa"/>
            <w:tcBorders>
              <w:top w:val="single" w:color="DEE0E3" w:sz="8" w:space="0"/>
              <w:left w:val="single" w:color="DEE0E3" w:sz="8" w:space="0"/>
              <w:bottom w:val="single" w:color="auto" w:sz="4" w:space="0"/>
              <w:right w:val="single" w:color="DEE0E3" w:sz="8" w:space="0"/>
            </w:tcBorders>
            <w:noWrap w:val="0"/>
            <w:vAlign w:val="center"/>
          </w:tcPr>
          <w:p w14:paraId="7F1D3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ongti SC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Preoperative multidisciplinary assessment; adjust the surgical plan if necessary. Consider postoperative ICU monitoring and prepare respiratory support protocols in advance.</w:t>
            </w:r>
          </w:p>
        </w:tc>
      </w:tr>
    </w:tbl>
    <w:p w14:paraId="65F158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 xml:space="preserve">Table </w:t>
      </w:r>
      <w:r>
        <w:rPr>
          <w:rFonts w:hint="eastAsia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4.</w: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 xml:space="preserve"> Risk stratification and clinical recommendations for the Gupta Postoperative Respiratory Failure Risk Score</w: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fldChar w:fldCharType="begin"/>
      </w:r>
      <w:r>
        <w:rPr>
          <w:rFonts w:hint="eastAsia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instrText xml:space="preserve"> ADDIN  EN.CITE &lt;EndNote&gt;&lt;Cite&gt;&lt;Author&gt;Gupta,Gupta et al.&lt;/Author&gt;&lt;Year&gt;2011&lt;/Year&gt;&lt;RecNum&gt;31&lt;/RecNum&gt;&lt;formattype&gt;0&lt;/formattype&gt;&lt;excludeauth&gt;0&lt;/excludeauth&gt;&lt;excludeyear&gt;0&lt;/excludeyear&gt;&lt;record&gt;&lt;rec-number&gt;31&lt;/rec-number&gt;&lt;foreign-keys&gt;&lt;key app="EN" db-id="r0wpzdz21p9swhezts45avphrt5drzrepe9d"&gt;31&lt;/key&gt;&lt;/foreign-keys&gt;Journal Article&lt;contributors&gt;&lt;authors&gt;&lt;author&gt;Gupta, H.&lt;/author&gt;&lt;author&gt;Gupta, P. K.&lt;/author&gt;&lt;author&gt;Fang, X.&lt;/author&gt;&lt;author&gt;Miller, W. J.&lt;/author&gt;&lt;author&gt;Cemaj, S.&lt;/author&gt;&lt;author&gt;Forse, R. A.&lt;/author&gt;&lt;author&gt;Morrow, L. E.&lt;/author&gt;&lt;/authors&gt;&lt;/contributors&gt;&lt;titles&gt;&lt;title&gt;Development and validation of a risk calculator predicting postoperative respiratory failure&lt;/title&gt;&lt;/titles&gt;&lt;dates&gt;&lt;year&gt;2011&lt;/year&gt;&lt;/dates&gt;&lt;urls&gt;&lt;/urls&gt;&lt;/record&gt;&lt;/Cite&gt;&lt;/EndNote&gt;</w:instrTex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fldChar w:fldCharType="separate"/>
      </w:r>
      <w:r>
        <w:rPr>
          <w:rFonts w:hint="eastAsia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[6]</w:t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fldChar w:fldCharType="end"/>
      </w:r>
      <w:r>
        <w:rPr>
          <w:rFonts w:hint="default" w:ascii="Times New Roman Bold" w:hAnsi="Times New Roman Bold" w:eastAsia="Songti SC" w:cs="Times New Roman Bold"/>
          <w:b/>
          <w:bCs/>
          <w:kern w:val="2"/>
          <w:sz w:val="21"/>
          <w:szCs w:val="21"/>
          <w:lang w:val="en-US" w:eastAsia="zh-CN" w:bidi="ar-SA"/>
        </w:rPr>
        <w:t>.</w:t>
      </w:r>
    </w:p>
    <w:p w14:paraId="680EAE4D">
      <w:pPr>
        <w:widowControl/>
        <w:spacing w:line="360" w:lineRule="auto"/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Songti SC" w:cs="Times New Roman"/>
          <w:b w:val="0"/>
          <w:bCs w:val="0"/>
          <w:kern w:val="2"/>
          <w:sz w:val="21"/>
          <w:szCs w:val="21"/>
          <w:lang w:val="en-US" w:eastAsia="zh-CN" w:bidi="ar-SA"/>
        </w:rPr>
        <w:t xml:space="preserve">1.Calculate the </w:t>
      </w:r>
      <w:r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linear predictor value</w:t>
      </w:r>
      <w:r>
        <w:rPr>
          <w:rFonts w:hint="eastAsia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 xml:space="preserve"> (</w:t>
      </w:r>
      <w:r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Terms) first:</w:t>
      </w:r>
    </w:p>
    <w:p w14:paraId="0EB4D92F">
      <w:pPr>
        <w:widowControl/>
        <w:spacing w:line="360" w:lineRule="auto"/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Terms=Functional status coefficient+ASA physical status coefficient+Sepsis coefficient+Emergency surgery coefficient+Surgical procedure coefficient−1.7397</w:t>
      </w:r>
    </w:p>
    <w:p w14:paraId="5DAD4C89">
      <w:pPr>
        <w:widowControl/>
        <w:numPr>
          <w:ilvl w:val="0"/>
          <w:numId w:val="1"/>
        </w:numPr>
        <w:spacing w:line="360" w:lineRule="auto"/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Then calculate the risk probability (%):</w:t>
      </w:r>
    </w:p>
    <w:p w14:paraId="1AD12038">
      <w:pPr>
        <w:widowControl/>
        <w:numPr>
          <w:ilvl w:val="0"/>
          <w:numId w:val="0"/>
        </w:numPr>
        <w:spacing w:line="360" w:lineRule="auto"/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Risk</w:t>
      </w:r>
      <w:r>
        <w:rPr>
          <w:rFonts w:hint="eastAsia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(</w:t>
      </w:r>
      <w:r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%</w:t>
      </w:r>
      <w:r>
        <w:rPr>
          <w:rFonts w:hint="eastAsia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)</w:t>
      </w:r>
      <w:r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= 100</w:t>
      </w:r>
      <w:r>
        <w:rPr>
          <w:rFonts w:hint="eastAsia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ascii="Arial" w:hAnsi="Arial" w:cs="Arial"/>
          <w:sz w:val="24"/>
        </w:rPr>
        <w:t>×</w:t>
      </w:r>
      <w:r>
        <w:rPr>
          <w:rFonts w:hint="eastAsia" w:ascii="Arial" w:hAnsi="Arial" w:cs="Arial"/>
          <w:sz w:val="24"/>
          <w:lang w:val="en-US" w:eastAsia="zh-CN"/>
        </w:rPr>
        <w:t xml:space="preserve"> </w:t>
      </w:r>
      <w:r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e^(Terms) /</w:t>
      </w:r>
      <w:r>
        <w:rPr>
          <w:rFonts w:hint="eastAsia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 xml:space="preserve"> (</w:t>
      </w:r>
      <w:r>
        <w:rPr>
          <w:rFonts w:hint="default" w:ascii="Times New Roman Regular" w:hAnsi="Times New Roman Regular" w:eastAsia="Songti SC" w:cs="Times New Roman Regular"/>
          <w:b w:val="0"/>
          <w:bCs w:val="0"/>
          <w:kern w:val="2"/>
          <w:sz w:val="21"/>
          <w:szCs w:val="21"/>
          <w:lang w:val="en-US" w:eastAsia="zh-CN" w:bidi="ar-SA"/>
        </w:rPr>
        <w:t>1 + e^(Terms))</w:t>
      </w:r>
    </w:p>
    <w:p w14:paraId="24740E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FE2D1B"/>
    <w:multiLevelType w:val="singleLevel"/>
    <w:tmpl w:val="F7FE2D1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9BC99CA"/>
    <w:rsid w:val="A9BC99CA"/>
    <w:rsid w:val="CDFE7A52"/>
    <w:rsid w:val="FFAFD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2026-02-23T05:37:00Z</dcterms:created>
  <dc:creator>芊荨薇薇</dc:creator>
  <cp:lastModifiedBy>芊荨薇薇</cp:lastModifiedBy>
  <dcterms:modified xsi:type="dcterms:W3CDTF">2026-03-11T20:56:29Z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588AFA182C214C3619969A690AD0D73B_41</vt:lpwstr>
  </property>
</Properties>
</file>