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38F" w:rsidRPr="004F5FEB" w:rsidRDefault="004B238F" w:rsidP="004B238F">
      <w:pPr>
        <w:jc w:val="both"/>
        <w:rPr>
          <w:rFonts w:asciiTheme="majorBidi" w:hAnsiTheme="majorBidi" w:cstheme="majorBidi"/>
          <w:color w:val="000000" w:themeColor="text1"/>
          <w:sz w:val="20"/>
          <w:szCs w:val="20"/>
        </w:rPr>
      </w:pPr>
      <w:r w:rsidRPr="004F5FEB">
        <w:rPr>
          <w:rFonts w:asciiTheme="majorBidi" w:hAnsiTheme="majorBidi" w:cstheme="majorBidi"/>
          <w:b/>
          <w:bCs/>
          <w:color w:val="000000" w:themeColor="text1"/>
          <w:sz w:val="20"/>
          <w:szCs w:val="20"/>
        </w:rPr>
        <w:t xml:space="preserve">Supplementary Table (1): </w:t>
      </w:r>
      <w:r w:rsidRPr="004F5FEB">
        <w:rPr>
          <w:rFonts w:asciiTheme="majorBidi" w:hAnsiTheme="majorBidi" w:cstheme="majorBidi"/>
          <w:color w:val="000000" w:themeColor="text1"/>
          <w:sz w:val="20"/>
          <w:szCs w:val="20"/>
        </w:rPr>
        <w:t>Dosing Regimens for the Study Intervention Groups.</w:t>
      </w:r>
    </w:p>
    <w:tbl>
      <w:tblPr>
        <w:tblStyle w:val="TableGrid1"/>
        <w:tblW w:w="0" w:type="auto"/>
        <w:tblLook w:val="04A0" w:firstRow="1" w:lastRow="0" w:firstColumn="1" w:lastColumn="0" w:noHBand="0" w:noVBand="1"/>
      </w:tblPr>
      <w:tblGrid>
        <w:gridCol w:w="1161"/>
        <w:gridCol w:w="939"/>
        <w:gridCol w:w="1172"/>
        <w:gridCol w:w="3637"/>
        <w:gridCol w:w="1071"/>
      </w:tblGrid>
      <w:tr w:rsidR="004B238F" w:rsidRPr="004F5FEB" w:rsidTr="00F775BA">
        <w:tc>
          <w:tcPr>
            <w:tcW w:w="0" w:type="auto"/>
            <w:hideMark/>
          </w:tcPr>
          <w:p w:rsidR="004B238F" w:rsidRPr="004F5FEB" w:rsidRDefault="004B238F" w:rsidP="00F775BA">
            <w:pPr>
              <w:tabs>
                <w:tab w:val="left" w:pos="504"/>
              </w:tabs>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Drug</w:t>
            </w:r>
          </w:p>
        </w:tc>
        <w:tc>
          <w:tcPr>
            <w:tcW w:w="0" w:type="auto"/>
            <w:hideMark/>
          </w:tcPr>
          <w:p w:rsidR="004B238F" w:rsidRPr="004F5FEB" w:rsidRDefault="004B238F" w:rsidP="00F775BA">
            <w:pPr>
              <w:tabs>
                <w:tab w:val="left" w:pos="504"/>
              </w:tabs>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Route</w:t>
            </w:r>
          </w:p>
        </w:tc>
        <w:tc>
          <w:tcPr>
            <w:tcW w:w="0" w:type="auto"/>
            <w:hideMark/>
          </w:tcPr>
          <w:p w:rsidR="004B238F" w:rsidRPr="004F5FEB" w:rsidRDefault="004B238F" w:rsidP="00F775BA">
            <w:pPr>
              <w:tabs>
                <w:tab w:val="left" w:pos="504"/>
              </w:tabs>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Dose</w:t>
            </w:r>
          </w:p>
        </w:tc>
        <w:tc>
          <w:tcPr>
            <w:tcW w:w="0" w:type="auto"/>
            <w:hideMark/>
          </w:tcPr>
          <w:p w:rsidR="004B238F" w:rsidRPr="004F5FEB" w:rsidRDefault="004B238F" w:rsidP="00F775BA">
            <w:pPr>
              <w:tabs>
                <w:tab w:val="left" w:pos="504"/>
              </w:tabs>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Mechanism of action</w:t>
            </w:r>
          </w:p>
        </w:tc>
        <w:tc>
          <w:tcPr>
            <w:tcW w:w="0" w:type="auto"/>
            <w:hideMark/>
          </w:tcPr>
          <w:p w:rsidR="004B238F" w:rsidRPr="004F5FEB" w:rsidRDefault="004B238F" w:rsidP="00F775BA">
            <w:pPr>
              <w:tabs>
                <w:tab w:val="left" w:pos="504"/>
              </w:tabs>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Reference</w:t>
            </w:r>
          </w:p>
        </w:tc>
      </w:tr>
      <w:tr w:rsidR="004B238F" w:rsidRPr="004F5FEB" w:rsidTr="00F775BA">
        <w:trPr>
          <w:trHeight w:val="383"/>
        </w:trPr>
        <w:tc>
          <w:tcPr>
            <w:tcW w:w="0" w:type="auto"/>
            <w:hideMark/>
          </w:tcPr>
          <w:p w:rsidR="004B238F" w:rsidRPr="004F5FEB" w:rsidRDefault="004B238F" w:rsidP="00F775BA">
            <w:pPr>
              <w:tabs>
                <w:tab w:val="left" w:pos="504"/>
              </w:tabs>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Propranolol</w:t>
            </w:r>
          </w:p>
        </w:tc>
        <w:tc>
          <w:tcPr>
            <w:tcW w:w="0" w:type="auto"/>
            <w:hideMark/>
          </w:tcPr>
          <w:p w:rsidR="004B238F" w:rsidRPr="004F5FEB" w:rsidRDefault="004B238F" w:rsidP="00F775BA">
            <w:pPr>
              <w:tabs>
                <w:tab w:val="left" w:pos="504"/>
              </w:tabs>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PO/NGT</w:t>
            </w:r>
          </w:p>
        </w:tc>
        <w:tc>
          <w:tcPr>
            <w:tcW w:w="0" w:type="auto"/>
            <w:hideMark/>
          </w:tcPr>
          <w:p w:rsidR="004B238F" w:rsidRPr="004F5FEB" w:rsidRDefault="004B238F" w:rsidP="00F775BA">
            <w:pPr>
              <w:tabs>
                <w:tab w:val="left" w:pos="504"/>
              </w:tabs>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40mg/12hrs</w:t>
            </w:r>
          </w:p>
        </w:tc>
        <w:tc>
          <w:tcPr>
            <w:tcW w:w="0" w:type="auto"/>
            <w:hideMark/>
          </w:tcPr>
          <w:p w:rsidR="004B238F" w:rsidRPr="004F5FEB" w:rsidRDefault="004B238F" w:rsidP="00F775BA">
            <w:pPr>
              <w:tabs>
                <w:tab w:val="left" w:pos="504"/>
              </w:tabs>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 xml:space="preserve">Peripheral non-selective beta blocker </w:t>
            </w:r>
            <w:r w:rsidRPr="004F5FEB">
              <w:rPr>
                <w:rFonts w:asciiTheme="majorBidi" w:hAnsiTheme="majorBidi" w:cstheme="majorBidi" w:hint="cs"/>
                <w:color w:val="000000" w:themeColor="text1"/>
                <w:sz w:val="20"/>
                <w:szCs w:val="20"/>
                <w:rtl/>
              </w:rPr>
              <w:t>)</w:t>
            </w:r>
            <w:r w:rsidRPr="004F5FEB">
              <w:rPr>
                <w:rFonts w:asciiTheme="majorBidi" w:hAnsiTheme="majorBidi" w:cstheme="majorBidi"/>
                <w:color w:val="000000" w:themeColor="text1"/>
                <w:sz w:val="20"/>
                <w:szCs w:val="20"/>
              </w:rPr>
              <w:t>BB)</w:t>
            </w:r>
          </w:p>
        </w:tc>
        <w:tc>
          <w:tcPr>
            <w:tcW w:w="0" w:type="auto"/>
            <w:hideMark/>
          </w:tcPr>
          <w:p w:rsidR="004B238F" w:rsidRPr="004F5FEB" w:rsidRDefault="004B238F" w:rsidP="00F775BA">
            <w:pPr>
              <w:tabs>
                <w:tab w:val="left" w:pos="504"/>
              </w:tabs>
              <w:jc w:val="center"/>
              <w:rPr>
                <w:sz w:val="20"/>
                <w:szCs w:val="20"/>
              </w:rPr>
            </w:pPr>
            <w:r w:rsidRPr="004F5FEB">
              <w:rPr>
                <w:sz w:val="20"/>
                <w:szCs w:val="20"/>
              </w:rPr>
              <w:t>[45, 46]</w:t>
            </w:r>
          </w:p>
        </w:tc>
      </w:tr>
      <w:tr w:rsidR="004B238F" w:rsidRPr="004F5FEB" w:rsidTr="00F775BA">
        <w:tc>
          <w:tcPr>
            <w:tcW w:w="0" w:type="auto"/>
            <w:hideMark/>
          </w:tcPr>
          <w:p w:rsidR="004B238F" w:rsidRPr="004F5FEB" w:rsidRDefault="004B238F" w:rsidP="00F775BA">
            <w:pPr>
              <w:tabs>
                <w:tab w:val="left" w:pos="504"/>
              </w:tabs>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Gabapentin</w:t>
            </w:r>
          </w:p>
        </w:tc>
        <w:tc>
          <w:tcPr>
            <w:tcW w:w="0" w:type="auto"/>
            <w:hideMark/>
          </w:tcPr>
          <w:p w:rsidR="004B238F" w:rsidRPr="004F5FEB" w:rsidRDefault="004B238F" w:rsidP="00F775BA">
            <w:pPr>
              <w:tabs>
                <w:tab w:val="left" w:pos="504"/>
              </w:tabs>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PO/NGT</w:t>
            </w:r>
          </w:p>
        </w:tc>
        <w:tc>
          <w:tcPr>
            <w:tcW w:w="0" w:type="auto"/>
            <w:hideMark/>
          </w:tcPr>
          <w:p w:rsidR="004B238F" w:rsidRPr="004F5FEB" w:rsidRDefault="004B238F" w:rsidP="00F775BA">
            <w:pPr>
              <w:tabs>
                <w:tab w:val="left" w:pos="504"/>
              </w:tabs>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100mg/8hrs</w:t>
            </w:r>
          </w:p>
        </w:tc>
        <w:tc>
          <w:tcPr>
            <w:tcW w:w="0" w:type="auto"/>
            <w:hideMark/>
          </w:tcPr>
          <w:p w:rsidR="004B238F" w:rsidRPr="004F5FEB" w:rsidRDefault="004B238F" w:rsidP="00F775BA">
            <w:pPr>
              <w:tabs>
                <w:tab w:val="left" w:pos="504"/>
              </w:tabs>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Central GABA agonist</w:t>
            </w:r>
          </w:p>
        </w:tc>
        <w:tc>
          <w:tcPr>
            <w:tcW w:w="0" w:type="auto"/>
            <w:hideMark/>
          </w:tcPr>
          <w:p w:rsidR="004B238F" w:rsidRPr="004F5FEB" w:rsidRDefault="004B238F" w:rsidP="00F775BA">
            <w:pPr>
              <w:tabs>
                <w:tab w:val="left" w:pos="504"/>
              </w:tabs>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fldChar w:fldCharType="begin"/>
            </w:r>
            <w:r w:rsidRPr="004F5FEB">
              <w:rPr>
                <w:rFonts w:asciiTheme="majorBidi" w:hAnsiTheme="majorBidi" w:cstheme="majorBidi"/>
                <w:color w:val="000000" w:themeColor="text1"/>
                <w:sz w:val="20"/>
                <w:szCs w:val="20"/>
              </w:rPr>
              <w:instrText xml:space="preserve"> ADDIN ZOTERO_ITEM CSL_CITATION {"citationID":"taZ0N2dS","properties":{"formattedCitation":"[22]","plainCitation":"[22]","noteIndex":0},"citationItems":[{"id":440,"uris":["http://zotero.org/users/local/AzHbpPry/items/MKWDHM8L"],"itemData":{"id":440,"type":"article-journal","container-title":"Frontiers in neurology","ISSN":"1664-2295","journalAbbreviation":"Frontiers in neurology","page":"81","publisher":"Frontiers Media SA","title":"Identification and management of paroxysmal sympathetic hyperactivity after traumatic brain injury","volume":"11","author":[{"family":"Zheng","given":"Rui-Zhe"},{"family":"Lei","given":"Zhong-Qi"},{"family":"Yang","given":"Run-Ze"},{"family":"Huang","given":"Guo-Hui"},{"family":"Zhang","given":"Guang-Ming"}],"issued":{"date-parts":[["2020"]]}}}],"schema":"https://github.com/citation-style-language/schema/raw/master/csl-citation.json"} </w:instrText>
            </w:r>
            <w:r w:rsidRPr="004F5FEB">
              <w:rPr>
                <w:rFonts w:asciiTheme="majorBidi" w:hAnsiTheme="majorBidi" w:cstheme="majorBidi"/>
                <w:color w:val="000000" w:themeColor="text1"/>
                <w:sz w:val="20"/>
                <w:szCs w:val="20"/>
              </w:rPr>
              <w:fldChar w:fldCharType="separate"/>
            </w:r>
            <w:r w:rsidRPr="004F5FEB">
              <w:rPr>
                <w:sz w:val="20"/>
                <w:szCs w:val="20"/>
              </w:rPr>
              <w:t>[22]</w:t>
            </w:r>
            <w:r w:rsidRPr="004F5FEB">
              <w:rPr>
                <w:rFonts w:asciiTheme="majorBidi" w:hAnsiTheme="majorBidi" w:cstheme="majorBidi"/>
                <w:color w:val="000000" w:themeColor="text1"/>
                <w:sz w:val="20"/>
                <w:szCs w:val="20"/>
              </w:rPr>
              <w:fldChar w:fldCharType="end"/>
            </w:r>
          </w:p>
        </w:tc>
      </w:tr>
    </w:tbl>
    <w:p w:rsidR="004B238F" w:rsidRPr="004F5FEB" w:rsidRDefault="004B238F" w:rsidP="004B238F">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 xml:space="preserve"> BB; beta blocker PO: Per </w:t>
      </w:r>
      <w:proofErr w:type="spellStart"/>
      <w:r w:rsidRPr="004F5FEB">
        <w:rPr>
          <w:rFonts w:asciiTheme="majorBidi" w:hAnsiTheme="majorBidi" w:cstheme="majorBidi"/>
          <w:color w:val="000000" w:themeColor="text1"/>
          <w:sz w:val="20"/>
          <w:szCs w:val="20"/>
        </w:rPr>
        <w:t>Os</w:t>
      </w:r>
      <w:proofErr w:type="spellEnd"/>
      <w:r w:rsidRPr="004F5FEB">
        <w:rPr>
          <w:rFonts w:asciiTheme="majorBidi" w:hAnsiTheme="majorBidi" w:cstheme="majorBidi"/>
          <w:color w:val="000000" w:themeColor="text1"/>
          <w:sz w:val="20"/>
          <w:szCs w:val="20"/>
        </w:rPr>
        <w:t xml:space="preserve"> (orally); NGT: Nasogastric Tube; GABA: γ-Aminobutyric Acid.</w:t>
      </w:r>
      <w:r w:rsidRPr="004F5FEB">
        <w:rPr>
          <w:rFonts w:asciiTheme="majorBidi" w:hAnsiTheme="majorBidi" w:cstheme="majorBidi"/>
          <w:color w:val="000000" w:themeColor="text1"/>
          <w:sz w:val="20"/>
          <w:szCs w:val="20"/>
        </w:rPr>
        <w:br/>
        <w:t>The referenced protocols are based on the cited literature and institutional guidelines for TBI management</w:t>
      </w:r>
      <w:r w:rsidRPr="004F5FEB">
        <w:rPr>
          <w:rFonts w:asciiTheme="majorBidi" w:hAnsiTheme="majorBidi" w:cstheme="majorBidi"/>
          <w:i/>
          <w:iCs/>
          <w:color w:val="000000" w:themeColor="text1"/>
          <w:sz w:val="20"/>
          <w:szCs w:val="20"/>
        </w:rPr>
        <w:t>.</w:t>
      </w:r>
    </w:p>
    <w:p w:rsidR="004B238F" w:rsidRPr="004F5FEB" w:rsidRDefault="004B238F" w:rsidP="004B238F">
      <w:pPr>
        <w:rPr>
          <w:rFonts w:asciiTheme="majorBidi" w:hAnsiTheme="majorBidi" w:cstheme="majorBidi"/>
          <w:b/>
          <w:bCs/>
          <w:color w:val="000000" w:themeColor="text1"/>
          <w:sz w:val="20"/>
          <w:szCs w:val="20"/>
          <w:rtl/>
        </w:rPr>
      </w:pPr>
    </w:p>
    <w:p w:rsidR="004B238F" w:rsidRPr="004F5FEB" w:rsidRDefault="004B238F" w:rsidP="004B238F">
      <w:pPr>
        <w:rPr>
          <w:rFonts w:asciiTheme="majorBidi" w:hAnsiTheme="majorBidi" w:cstheme="majorBidi"/>
          <w:b/>
          <w:bCs/>
          <w:color w:val="000000" w:themeColor="text1"/>
          <w:sz w:val="20"/>
          <w:szCs w:val="20"/>
          <w:rtl/>
        </w:rPr>
      </w:pPr>
    </w:p>
    <w:p w:rsidR="004B238F" w:rsidRPr="004F5FEB" w:rsidRDefault="004B238F" w:rsidP="004B238F">
      <w:pP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xml:space="preserve">Supplementary Table (2): Complications </w:t>
      </w:r>
      <w:proofErr w:type="gramStart"/>
      <w:r w:rsidRPr="004F5FEB">
        <w:rPr>
          <w:rFonts w:asciiTheme="majorBidi" w:hAnsiTheme="majorBidi" w:cstheme="majorBidi"/>
          <w:b/>
          <w:bCs/>
          <w:color w:val="000000" w:themeColor="text1"/>
          <w:sz w:val="20"/>
          <w:szCs w:val="20"/>
        </w:rPr>
        <w:t>During</w:t>
      </w:r>
      <w:proofErr w:type="gramEnd"/>
      <w:r w:rsidRPr="004F5FEB">
        <w:rPr>
          <w:rFonts w:asciiTheme="majorBidi" w:hAnsiTheme="majorBidi" w:cstheme="majorBidi"/>
          <w:b/>
          <w:bCs/>
          <w:color w:val="000000" w:themeColor="text1"/>
          <w:sz w:val="20"/>
          <w:szCs w:val="20"/>
        </w:rPr>
        <w:t xml:space="preserve"> ICU Stay and Renal Safety Outcomes</w:t>
      </w:r>
    </w:p>
    <w:tbl>
      <w:tblPr>
        <w:tblStyle w:val="TableGrid1"/>
        <w:tblW w:w="0" w:type="auto"/>
        <w:tblLook w:val="04A0" w:firstRow="1" w:lastRow="0" w:firstColumn="1" w:lastColumn="0" w:noHBand="0" w:noVBand="1"/>
      </w:tblPr>
      <w:tblGrid>
        <w:gridCol w:w="3150"/>
        <w:gridCol w:w="1300"/>
        <w:gridCol w:w="1351"/>
        <w:gridCol w:w="1403"/>
        <w:gridCol w:w="1049"/>
        <w:gridCol w:w="790"/>
        <w:gridCol w:w="533"/>
      </w:tblGrid>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Complication</w:t>
            </w:r>
          </w:p>
        </w:tc>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Group I (n=30)</w:t>
            </w:r>
          </w:p>
        </w:tc>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Group II (n=30)</w:t>
            </w:r>
          </w:p>
        </w:tc>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Group III (n=30)</w:t>
            </w:r>
          </w:p>
        </w:tc>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Test value*</w:t>
            </w:r>
          </w:p>
        </w:tc>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p-value</w:t>
            </w:r>
          </w:p>
        </w:tc>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Sig.</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Overall complications</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8 (26.7%)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9 (30.0%)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5 (16.7%)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1.564</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0.457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Pneumonia</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 (6.7%)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 (6.7%)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 (3.3%)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0.424</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0.809</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RD</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 (3.3%)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2.022</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0.364</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Pneumothorax</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 (3.3%)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2.022</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0.364</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Sepsis</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3 (10.0%)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7 (23.3%)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4 (13.3%)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2.199</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0.333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Drug-induced hepatitis</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3 (10.0%)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 (3.3%)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 (3.3%)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1.694</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0.429</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VAP</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 (3.3%)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 (3.3%)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 (3.3%)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0.000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1.000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Fits</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 (6.7%)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 (6.7%)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2.093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0.351</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CVL infection</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 (6.7%)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4.091</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0.129</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IJV infection</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 (3.3%)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2.022</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0.364</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Neck edema</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 (3.3%)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2.022</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0.364</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Pulmonary embolism</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 (3.3%)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2.022</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0.364</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gridSpan w:val="7"/>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Renal Safety Outcomes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Acute Kidney Injury (AKI)</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6 (20.0%)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5 (16.7%)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7 (23.3%)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0.480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0.787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KDIGO Stage 1</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4 (13.3%)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3 (10.0%)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5 (16.7%)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KDIGO Stage 2</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 (6.7%)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 (6.7%)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 (6.7%)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KDIGO Stage 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 (0.0%)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Peak Serum Creatinine (mg/</w:t>
            </w:r>
            <w:proofErr w:type="spellStart"/>
            <w:r w:rsidRPr="004F5FEB">
              <w:rPr>
                <w:rFonts w:asciiTheme="majorBidi" w:hAnsiTheme="majorBidi" w:cstheme="majorBidi"/>
                <w:b/>
                <w:bCs/>
                <w:color w:val="000000" w:themeColor="text1"/>
                <w:sz w:val="20"/>
                <w:szCs w:val="20"/>
              </w:rPr>
              <w:t>dL</w:t>
            </w:r>
            <w:proofErr w:type="spellEnd"/>
            <w:r w:rsidRPr="004F5FEB">
              <w:rPr>
                <w:rFonts w:asciiTheme="majorBidi" w:hAnsiTheme="majorBidi" w:cstheme="majorBidi"/>
                <w:b/>
                <w:bCs/>
                <w:color w:val="000000" w:themeColor="text1"/>
                <w:sz w:val="20"/>
                <w:szCs w:val="20"/>
              </w:rPr>
              <w:t>), mean ± SD</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1.3 ± 0.5</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1.2 ± 0.4</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1.4 ± 0.6</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0.899†</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0.412</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bl>
    <w:p w:rsidR="004B238F" w:rsidRPr="004F5FEB" w:rsidRDefault="004B238F" w:rsidP="004B238F">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Test values for categorical variables are Chi-square (χ²) values; for continuous variable (†) it is F-value from ANOVA.</w:t>
      </w:r>
      <w:r w:rsidRPr="004F5FEB">
        <w:rPr>
          <w:rFonts w:asciiTheme="majorBidi" w:hAnsiTheme="majorBidi" w:cstheme="majorBidi"/>
          <w:color w:val="000000" w:themeColor="text1"/>
          <w:sz w:val="20"/>
          <w:szCs w:val="20"/>
        </w:rPr>
        <w:br/>
        <w:t>VAP: Ventilator-Associated Pneumonia; CVL: Central Venous Line; IJV: Internal Jugular Vein; AKI: Acute Kidney Injury (defined and staged per KDIGO criteria).</w:t>
      </w:r>
      <w:r w:rsidRPr="004F5FEB">
        <w:rPr>
          <w:rFonts w:asciiTheme="majorBidi" w:hAnsiTheme="majorBidi" w:cstheme="majorBidi" w:hint="cs"/>
          <w:color w:val="000000" w:themeColor="text1"/>
          <w:sz w:val="20"/>
          <w:szCs w:val="20"/>
          <w:rtl/>
        </w:rPr>
        <w:t xml:space="preserve"> </w:t>
      </w:r>
      <w:r w:rsidRPr="004F5FEB">
        <w:rPr>
          <w:rFonts w:asciiTheme="majorBidi" w:hAnsiTheme="majorBidi" w:cstheme="majorBidi"/>
          <w:color w:val="000000" w:themeColor="text1"/>
          <w:sz w:val="20"/>
          <w:szCs w:val="20"/>
        </w:rPr>
        <w:t>Values are presented as number (percentage).</w:t>
      </w:r>
      <w:r w:rsidRPr="004F5FEB">
        <w:rPr>
          <w:rFonts w:asciiTheme="majorBidi" w:hAnsiTheme="majorBidi" w:cstheme="majorBidi" w:hint="cs"/>
          <w:color w:val="000000" w:themeColor="text1"/>
          <w:sz w:val="20"/>
          <w:szCs w:val="20"/>
          <w:rtl/>
        </w:rPr>
        <w:t xml:space="preserve"> </w:t>
      </w:r>
      <w:r w:rsidRPr="004F5FEB">
        <w:rPr>
          <w:rFonts w:asciiTheme="majorBidi" w:hAnsiTheme="majorBidi" w:cstheme="majorBidi"/>
          <w:color w:val="000000" w:themeColor="text1"/>
          <w:sz w:val="20"/>
          <w:szCs w:val="20"/>
        </w:rPr>
        <w:t>NS = Non-significant (p &gt; 0.05).</w:t>
      </w:r>
    </w:p>
    <w:p w:rsidR="004B238F" w:rsidRPr="004F5FEB" w:rsidRDefault="004B238F" w:rsidP="004B238F">
      <w:pPr>
        <w:rPr>
          <w:rFonts w:asciiTheme="majorBidi" w:hAnsiTheme="majorBidi" w:cstheme="majorBidi"/>
          <w:b/>
          <w:bCs/>
          <w:color w:val="000000" w:themeColor="text1"/>
          <w:sz w:val="20"/>
          <w:szCs w:val="20"/>
          <w:rtl/>
        </w:rPr>
      </w:pPr>
    </w:p>
    <w:p w:rsidR="004B238F" w:rsidRPr="004F5FEB" w:rsidRDefault="004B238F" w:rsidP="004B238F">
      <w:pPr>
        <w:rPr>
          <w:rFonts w:asciiTheme="majorBidi" w:hAnsiTheme="majorBidi" w:cstheme="majorBidi"/>
          <w:color w:val="000000" w:themeColor="text1"/>
          <w:sz w:val="20"/>
          <w:szCs w:val="20"/>
        </w:rPr>
      </w:pPr>
      <w:r w:rsidRPr="004F5FEB">
        <w:rPr>
          <w:rFonts w:asciiTheme="majorBidi" w:hAnsiTheme="majorBidi" w:cstheme="majorBidi"/>
          <w:b/>
          <w:bCs/>
          <w:color w:val="000000" w:themeColor="text1"/>
          <w:sz w:val="20"/>
          <w:szCs w:val="20"/>
        </w:rPr>
        <w:t xml:space="preserve">Supplementary Table (3): </w:t>
      </w:r>
      <w:r w:rsidRPr="004F5FEB">
        <w:rPr>
          <w:rFonts w:asciiTheme="majorBidi" w:hAnsiTheme="majorBidi" w:cstheme="majorBidi"/>
          <w:color w:val="000000" w:themeColor="text1"/>
          <w:sz w:val="20"/>
          <w:szCs w:val="20"/>
        </w:rPr>
        <w:t>Comparison between the three studied groups regarding mechanical ventilation and type of sedation used</w:t>
      </w:r>
    </w:p>
    <w:tbl>
      <w:tblPr>
        <w:tblStyle w:val="TableGrid1"/>
        <w:tblW w:w="0" w:type="auto"/>
        <w:tblLook w:val="04A0" w:firstRow="1" w:lastRow="0" w:firstColumn="1" w:lastColumn="0" w:noHBand="0" w:noVBand="1"/>
      </w:tblPr>
      <w:tblGrid>
        <w:gridCol w:w="1183"/>
        <w:gridCol w:w="1520"/>
        <w:gridCol w:w="1597"/>
        <w:gridCol w:w="1675"/>
        <w:gridCol w:w="1189"/>
        <w:gridCol w:w="850"/>
        <w:gridCol w:w="533"/>
      </w:tblGrid>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Variable</w:t>
            </w:r>
          </w:p>
        </w:tc>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Group I (n=30)</w:t>
            </w:r>
          </w:p>
        </w:tc>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Group II (n=30)</w:t>
            </w:r>
          </w:p>
        </w:tc>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Group III (n=30)</w:t>
            </w:r>
          </w:p>
        </w:tc>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Test value*</w:t>
            </w:r>
          </w:p>
        </w:tc>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p-value</w:t>
            </w:r>
          </w:p>
        </w:tc>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Sig.</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MV</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No</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6 (20.0%)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6 (20.0%)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4 (13.3%)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0.608</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0.738</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Yes</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24 (80.0%)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24 (80.0%)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26 (86.7%)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proofErr w:type="spellStart"/>
            <w:r w:rsidRPr="004F5FEB">
              <w:rPr>
                <w:rFonts w:asciiTheme="majorBidi" w:hAnsiTheme="majorBidi" w:cstheme="majorBidi"/>
                <w:b/>
                <w:bCs/>
                <w:color w:val="000000" w:themeColor="text1"/>
                <w:sz w:val="20"/>
                <w:szCs w:val="20"/>
              </w:rPr>
              <w:t>Propofol</w:t>
            </w:r>
            <w:proofErr w:type="spellEnd"/>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No</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17 (56.7%)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13 (43.3%)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11 (36.7%)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2.509</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0.285</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Yes</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13 (43.3%)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17 (56.7%)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19 (63.3%)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Morphine</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No</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24 (80.0%)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24 (80.0%)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22 (73.3%)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0.514</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0.773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Yes</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6 (20.0%)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6 (20.0%)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8 (26.7%)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Fentanyl</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No</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12 (40.0%)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12 (40.0%)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12 (40.0%)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0.000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1.000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Yes</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18 (60.0%)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18 (60.0%)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18 (60.0%)</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Midazolam</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No</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19 (63.3%)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23 (76.7%)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23 (76.7%)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1.772</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0.412</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lastRenderedPageBreak/>
              <w:t>- Yes</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11 (36.7%)</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7 (23.3%)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7 (23.3%)</w:t>
            </w: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c>
          <w:tcPr>
            <w:tcW w:w="0" w:type="auto"/>
            <w:hideMark/>
          </w:tcPr>
          <w:p w:rsidR="004B238F" w:rsidRPr="004F5FEB" w:rsidRDefault="004B238F" w:rsidP="00F775BA">
            <w:pPr>
              <w:jc w:val="center"/>
              <w:rPr>
                <w:rFonts w:asciiTheme="majorBidi" w:hAnsiTheme="majorBidi" w:cstheme="majorBidi"/>
                <w:color w:val="000000" w:themeColor="text1"/>
                <w:sz w:val="20"/>
                <w:szCs w:val="20"/>
              </w:rPr>
            </w:pPr>
          </w:p>
        </w:tc>
      </w:tr>
    </w:tbl>
    <w:p w:rsidR="004B238F" w:rsidRPr="004F5FEB" w:rsidRDefault="004B238F" w:rsidP="004B238F">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Values are presented as number (percentage).</w:t>
      </w:r>
      <w:r w:rsidRPr="004F5FEB">
        <w:rPr>
          <w:rFonts w:asciiTheme="majorBidi" w:hAnsiTheme="majorBidi" w:cstheme="majorBidi"/>
          <w:color w:val="000000" w:themeColor="text1"/>
          <w:sz w:val="20"/>
          <w:szCs w:val="20"/>
        </w:rPr>
        <w:br/>
        <w:t>NS = Non-significant (p &gt; 0.05). MV = Mechanical ventilation.</w:t>
      </w:r>
    </w:p>
    <w:p w:rsidR="004B238F" w:rsidRPr="004F5FEB" w:rsidRDefault="004B238F" w:rsidP="004B238F">
      <w:pPr>
        <w:pStyle w:val="Bibliography"/>
        <w:spacing w:after="0"/>
        <w:jc w:val="both"/>
        <w:rPr>
          <w:rFonts w:asciiTheme="majorBidi" w:hAnsiTheme="majorBidi" w:cstheme="majorBidi"/>
          <w:color w:val="000000" w:themeColor="text1"/>
          <w:sz w:val="20"/>
          <w:szCs w:val="20"/>
        </w:rPr>
      </w:pPr>
    </w:p>
    <w:p w:rsidR="004B238F" w:rsidRPr="004F5FEB" w:rsidRDefault="004B238F" w:rsidP="004B238F">
      <w:pPr>
        <w:rPr>
          <w:rFonts w:asciiTheme="majorBidi" w:hAnsiTheme="majorBidi" w:cstheme="majorBidi"/>
          <w:color w:val="000000" w:themeColor="text1"/>
          <w:sz w:val="20"/>
          <w:szCs w:val="20"/>
        </w:rPr>
      </w:pPr>
      <w:bookmarkStart w:id="0" w:name="_Hlk206541457"/>
      <w:r w:rsidRPr="004F5FEB">
        <w:rPr>
          <w:rFonts w:asciiTheme="majorBidi" w:hAnsiTheme="majorBidi" w:cstheme="majorBidi"/>
          <w:b/>
          <w:bCs/>
          <w:color w:val="000000" w:themeColor="text1"/>
          <w:sz w:val="20"/>
          <w:szCs w:val="20"/>
        </w:rPr>
        <w:t xml:space="preserve">Supplementary Table (4): </w:t>
      </w:r>
      <w:bookmarkEnd w:id="0"/>
      <w:r w:rsidRPr="004F5FEB">
        <w:rPr>
          <w:rFonts w:asciiTheme="majorBidi" w:hAnsiTheme="majorBidi" w:cstheme="majorBidi"/>
          <w:color w:val="000000" w:themeColor="text1"/>
          <w:sz w:val="20"/>
          <w:szCs w:val="20"/>
        </w:rPr>
        <w:t>Comparison between the three studied groups regarding discharge outcomes</w:t>
      </w:r>
    </w:p>
    <w:tbl>
      <w:tblPr>
        <w:tblStyle w:val="TableGrid1"/>
        <w:tblW w:w="10349" w:type="dxa"/>
        <w:tblLook w:val="04A0" w:firstRow="1" w:lastRow="0" w:firstColumn="1" w:lastColumn="0" w:noHBand="0" w:noVBand="1"/>
      </w:tblPr>
      <w:tblGrid>
        <w:gridCol w:w="1750"/>
        <w:gridCol w:w="2157"/>
        <w:gridCol w:w="1318"/>
        <w:gridCol w:w="1318"/>
        <w:gridCol w:w="1318"/>
        <w:gridCol w:w="793"/>
        <w:gridCol w:w="1066"/>
        <w:gridCol w:w="629"/>
      </w:tblGrid>
      <w:tr w:rsidR="004B238F" w:rsidRPr="004F5FEB" w:rsidTr="00F775BA">
        <w:tc>
          <w:tcPr>
            <w:tcW w:w="0" w:type="auto"/>
            <w:gridSpan w:val="2"/>
            <w:vMerge w:val="restart"/>
          </w:tcPr>
          <w:p w:rsidR="004B238F" w:rsidRPr="004F5FEB" w:rsidRDefault="004B238F" w:rsidP="00F775BA">
            <w:pPr>
              <w:rPr>
                <w:rFonts w:asciiTheme="majorBidi" w:hAnsiTheme="majorBidi" w:cstheme="majorBidi"/>
                <w:color w:val="000000" w:themeColor="text1"/>
                <w:sz w:val="20"/>
                <w:szCs w:val="20"/>
              </w:rPr>
            </w:pPr>
          </w:p>
        </w:tc>
        <w:tc>
          <w:tcPr>
            <w:tcW w:w="0" w:type="auto"/>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Group I</w:t>
            </w:r>
          </w:p>
        </w:tc>
        <w:tc>
          <w:tcPr>
            <w:tcW w:w="0" w:type="auto"/>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Group II</w:t>
            </w:r>
          </w:p>
        </w:tc>
        <w:tc>
          <w:tcPr>
            <w:tcW w:w="0" w:type="auto"/>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Group III</w:t>
            </w:r>
          </w:p>
        </w:tc>
        <w:tc>
          <w:tcPr>
            <w:tcW w:w="0" w:type="auto"/>
            <w:vMerge w:val="restart"/>
            <w:noWrap/>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 xml:space="preserve">Test </w:t>
            </w:r>
          </w:p>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value</w:t>
            </w:r>
          </w:p>
        </w:tc>
        <w:tc>
          <w:tcPr>
            <w:tcW w:w="1066" w:type="dxa"/>
            <w:vMerge w:val="restart"/>
            <w:noWrap/>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P-value</w:t>
            </w:r>
          </w:p>
        </w:tc>
        <w:tc>
          <w:tcPr>
            <w:tcW w:w="0" w:type="auto"/>
            <w:vMerge w:val="restart"/>
            <w:noWrap/>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Sig.</w:t>
            </w:r>
          </w:p>
        </w:tc>
      </w:tr>
      <w:tr w:rsidR="004B238F" w:rsidRPr="004F5FEB" w:rsidTr="00F775BA">
        <w:tc>
          <w:tcPr>
            <w:tcW w:w="0" w:type="auto"/>
            <w:gridSpan w:val="2"/>
            <w:vMerge/>
          </w:tcPr>
          <w:p w:rsidR="004B238F" w:rsidRPr="004F5FEB" w:rsidRDefault="004B238F" w:rsidP="00F775BA">
            <w:pPr>
              <w:rPr>
                <w:rFonts w:asciiTheme="majorBidi" w:hAnsiTheme="majorBidi" w:cstheme="majorBidi"/>
                <w:color w:val="000000" w:themeColor="text1"/>
                <w:sz w:val="20"/>
                <w:szCs w:val="20"/>
              </w:rPr>
            </w:pPr>
          </w:p>
        </w:tc>
        <w:tc>
          <w:tcPr>
            <w:tcW w:w="0" w:type="auto"/>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No. = 30</w:t>
            </w:r>
          </w:p>
        </w:tc>
        <w:tc>
          <w:tcPr>
            <w:tcW w:w="0" w:type="auto"/>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No. = 30</w:t>
            </w:r>
          </w:p>
        </w:tc>
        <w:tc>
          <w:tcPr>
            <w:tcW w:w="0" w:type="auto"/>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No. = 30</w:t>
            </w:r>
          </w:p>
        </w:tc>
        <w:tc>
          <w:tcPr>
            <w:tcW w:w="0" w:type="auto"/>
            <w:vMerge/>
          </w:tcPr>
          <w:p w:rsidR="004B238F" w:rsidRPr="004F5FEB" w:rsidRDefault="004B238F" w:rsidP="00F775BA">
            <w:pPr>
              <w:rPr>
                <w:rFonts w:asciiTheme="majorBidi" w:hAnsiTheme="majorBidi" w:cstheme="majorBidi"/>
                <w:color w:val="000000" w:themeColor="text1"/>
                <w:sz w:val="20"/>
                <w:szCs w:val="20"/>
              </w:rPr>
            </w:pPr>
          </w:p>
        </w:tc>
        <w:tc>
          <w:tcPr>
            <w:tcW w:w="1066" w:type="dxa"/>
            <w:vMerge/>
          </w:tcPr>
          <w:p w:rsidR="004B238F" w:rsidRPr="004F5FEB" w:rsidRDefault="004B238F" w:rsidP="00F775BA">
            <w:pPr>
              <w:rPr>
                <w:rFonts w:asciiTheme="majorBidi" w:hAnsiTheme="majorBidi" w:cstheme="majorBidi"/>
                <w:color w:val="000000" w:themeColor="text1"/>
                <w:sz w:val="20"/>
                <w:szCs w:val="20"/>
              </w:rPr>
            </w:pPr>
          </w:p>
        </w:tc>
        <w:tc>
          <w:tcPr>
            <w:tcW w:w="0" w:type="auto"/>
            <w:vMerge/>
          </w:tcPr>
          <w:p w:rsidR="004B238F" w:rsidRPr="004F5FEB" w:rsidRDefault="004B238F" w:rsidP="00F775BA">
            <w:pPr>
              <w:rPr>
                <w:rFonts w:asciiTheme="majorBidi" w:hAnsiTheme="majorBidi" w:cstheme="majorBidi"/>
                <w:color w:val="000000" w:themeColor="text1"/>
                <w:sz w:val="20"/>
                <w:szCs w:val="20"/>
              </w:rPr>
            </w:pPr>
          </w:p>
        </w:tc>
      </w:tr>
      <w:tr w:rsidR="004B238F" w:rsidRPr="004F5FEB" w:rsidTr="00F775BA">
        <w:tc>
          <w:tcPr>
            <w:tcW w:w="0" w:type="auto"/>
            <w:vMerge w:val="restart"/>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Improvement</w:t>
            </w:r>
          </w:p>
        </w:tc>
        <w:tc>
          <w:tcPr>
            <w:tcW w:w="0" w:type="auto"/>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Discharged to home</w:t>
            </w:r>
          </w:p>
        </w:tc>
        <w:tc>
          <w:tcPr>
            <w:tcW w:w="0" w:type="auto"/>
            <w:noWrap/>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20 (66.7%)</w:t>
            </w:r>
          </w:p>
        </w:tc>
        <w:tc>
          <w:tcPr>
            <w:tcW w:w="0" w:type="auto"/>
            <w:noWrap/>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24 (80.0%)</w:t>
            </w:r>
          </w:p>
        </w:tc>
        <w:tc>
          <w:tcPr>
            <w:tcW w:w="0" w:type="auto"/>
            <w:noWrap/>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25 (83.3%)</w:t>
            </w:r>
          </w:p>
        </w:tc>
        <w:tc>
          <w:tcPr>
            <w:tcW w:w="0" w:type="auto"/>
            <w:vMerge w:val="restart"/>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2.609</w:t>
            </w:r>
          </w:p>
        </w:tc>
        <w:tc>
          <w:tcPr>
            <w:tcW w:w="1066" w:type="dxa"/>
            <w:vMerge w:val="restart"/>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0.271</w:t>
            </w:r>
          </w:p>
        </w:tc>
        <w:tc>
          <w:tcPr>
            <w:tcW w:w="0" w:type="auto"/>
            <w:vMerge w:val="restart"/>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vMerge/>
          </w:tcPr>
          <w:p w:rsidR="004B238F" w:rsidRPr="004F5FEB" w:rsidRDefault="004B238F" w:rsidP="00F775BA">
            <w:pPr>
              <w:jc w:val="center"/>
              <w:rPr>
                <w:rFonts w:asciiTheme="majorBidi" w:hAnsiTheme="majorBidi" w:cstheme="majorBidi"/>
                <w:b/>
                <w:bCs/>
                <w:color w:val="000000" w:themeColor="text1"/>
                <w:sz w:val="20"/>
                <w:szCs w:val="20"/>
              </w:rPr>
            </w:pPr>
          </w:p>
        </w:tc>
        <w:tc>
          <w:tcPr>
            <w:tcW w:w="0" w:type="auto"/>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Died</w:t>
            </w:r>
          </w:p>
        </w:tc>
        <w:tc>
          <w:tcPr>
            <w:tcW w:w="0" w:type="auto"/>
            <w:noWrap/>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10 (33.3%)</w:t>
            </w:r>
          </w:p>
        </w:tc>
        <w:tc>
          <w:tcPr>
            <w:tcW w:w="0" w:type="auto"/>
            <w:noWrap/>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6 (20.0%)</w:t>
            </w:r>
          </w:p>
        </w:tc>
        <w:tc>
          <w:tcPr>
            <w:tcW w:w="0" w:type="auto"/>
            <w:noWrap/>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5 (16.7%)</w:t>
            </w:r>
          </w:p>
        </w:tc>
        <w:tc>
          <w:tcPr>
            <w:tcW w:w="0" w:type="auto"/>
            <w:vMerge/>
          </w:tcPr>
          <w:p w:rsidR="004B238F" w:rsidRPr="004F5FEB" w:rsidRDefault="004B238F" w:rsidP="00F775BA">
            <w:pPr>
              <w:rPr>
                <w:rFonts w:asciiTheme="majorBidi" w:hAnsiTheme="majorBidi" w:cstheme="majorBidi"/>
                <w:color w:val="000000" w:themeColor="text1"/>
                <w:sz w:val="20"/>
                <w:szCs w:val="20"/>
              </w:rPr>
            </w:pPr>
          </w:p>
        </w:tc>
        <w:tc>
          <w:tcPr>
            <w:tcW w:w="1066" w:type="dxa"/>
            <w:vMerge/>
          </w:tcPr>
          <w:p w:rsidR="004B238F" w:rsidRPr="004F5FEB" w:rsidRDefault="004B238F" w:rsidP="00F775BA">
            <w:pPr>
              <w:rPr>
                <w:rFonts w:asciiTheme="majorBidi" w:hAnsiTheme="majorBidi" w:cstheme="majorBidi"/>
                <w:color w:val="000000" w:themeColor="text1"/>
                <w:sz w:val="20"/>
                <w:szCs w:val="20"/>
              </w:rPr>
            </w:pPr>
          </w:p>
        </w:tc>
        <w:tc>
          <w:tcPr>
            <w:tcW w:w="0" w:type="auto"/>
            <w:vMerge/>
          </w:tcPr>
          <w:p w:rsidR="004B238F" w:rsidRPr="004F5FEB" w:rsidRDefault="004B238F" w:rsidP="00F775BA">
            <w:pPr>
              <w:rPr>
                <w:rFonts w:asciiTheme="majorBidi" w:hAnsiTheme="majorBidi" w:cstheme="majorBidi"/>
                <w:color w:val="000000" w:themeColor="text1"/>
                <w:sz w:val="20"/>
                <w:szCs w:val="20"/>
              </w:rPr>
            </w:pPr>
          </w:p>
        </w:tc>
      </w:tr>
      <w:tr w:rsidR="004B238F" w:rsidRPr="004F5FEB" w:rsidTr="00F775BA">
        <w:tc>
          <w:tcPr>
            <w:tcW w:w="0" w:type="auto"/>
            <w:vMerge w:val="restart"/>
          </w:tcPr>
          <w:p w:rsidR="004B238F" w:rsidRPr="004F5FEB" w:rsidRDefault="004B238F" w:rsidP="00F775BA">
            <w:pPr>
              <w:jc w:val="cente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Cause of death</w:t>
            </w:r>
          </w:p>
        </w:tc>
        <w:tc>
          <w:tcPr>
            <w:tcW w:w="0" w:type="auto"/>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Septic shock</w:t>
            </w:r>
          </w:p>
        </w:tc>
        <w:tc>
          <w:tcPr>
            <w:tcW w:w="0" w:type="auto"/>
            <w:noWrap/>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3 (30.0%)</w:t>
            </w:r>
          </w:p>
        </w:tc>
        <w:tc>
          <w:tcPr>
            <w:tcW w:w="0" w:type="auto"/>
            <w:noWrap/>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2 (33.3%)</w:t>
            </w:r>
          </w:p>
        </w:tc>
        <w:tc>
          <w:tcPr>
            <w:tcW w:w="0" w:type="auto"/>
            <w:noWrap/>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 (20.0%)</w:t>
            </w:r>
          </w:p>
        </w:tc>
        <w:tc>
          <w:tcPr>
            <w:tcW w:w="0" w:type="auto"/>
            <w:vMerge w:val="restart"/>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0.257</w:t>
            </w:r>
          </w:p>
        </w:tc>
        <w:tc>
          <w:tcPr>
            <w:tcW w:w="1066" w:type="dxa"/>
            <w:vMerge w:val="restart"/>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0.880</w:t>
            </w:r>
          </w:p>
        </w:tc>
        <w:tc>
          <w:tcPr>
            <w:tcW w:w="0" w:type="auto"/>
            <w:vMerge w:val="restart"/>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vMerge/>
          </w:tcPr>
          <w:p w:rsidR="004B238F" w:rsidRPr="004F5FEB" w:rsidRDefault="004B238F" w:rsidP="00F775BA">
            <w:pPr>
              <w:rPr>
                <w:rFonts w:asciiTheme="majorBidi" w:hAnsiTheme="majorBidi" w:cstheme="majorBidi"/>
                <w:color w:val="000000" w:themeColor="text1"/>
                <w:sz w:val="20"/>
                <w:szCs w:val="20"/>
              </w:rPr>
            </w:pPr>
          </w:p>
        </w:tc>
        <w:tc>
          <w:tcPr>
            <w:tcW w:w="0" w:type="auto"/>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Brain death</w:t>
            </w:r>
          </w:p>
        </w:tc>
        <w:tc>
          <w:tcPr>
            <w:tcW w:w="0" w:type="auto"/>
            <w:noWrap/>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7 (70.0%)</w:t>
            </w:r>
          </w:p>
        </w:tc>
        <w:tc>
          <w:tcPr>
            <w:tcW w:w="0" w:type="auto"/>
            <w:noWrap/>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4 (66.7%)</w:t>
            </w:r>
          </w:p>
        </w:tc>
        <w:tc>
          <w:tcPr>
            <w:tcW w:w="0" w:type="auto"/>
            <w:noWrap/>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4 (80.0%)</w:t>
            </w:r>
          </w:p>
        </w:tc>
        <w:tc>
          <w:tcPr>
            <w:tcW w:w="0" w:type="auto"/>
            <w:vMerge/>
          </w:tcPr>
          <w:p w:rsidR="004B238F" w:rsidRPr="004F5FEB" w:rsidRDefault="004B238F" w:rsidP="00F775BA">
            <w:pPr>
              <w:rPr>
                <w:rFonts w:asciiTheme="majorBidi" w:hAnsiTheme="majorBidi" w:cstheme="majorBidi"/>
                <w:color w:val="000000" w:themeColor="text1"/>
                <w:sz w:val="20"/>
                <w:szCs w:val="20"/>
              </w:rPr>
            </w:pPr>
          </w:p>
        </w:tc>
        <w:tc>
          <w:tcPr>
            <w:tcW w:w="1066" w:type="dxa"/>
            <w:vMerge/>
          </w:tcPr>
          <w:p w:rsidR="004B238F" w:rsidRPr="004F5FEB" w:rsidRDefault="004B238F" w:rsidP="00F775BA">
            <w:pPr>
              <w:rPr>
                <w:rFonts w:asciiTheme="majorBidi" w:hAnsiTheme="majorBidi" w:cstheme="majorBidi"/>
                <w:color w:val="000000" w:themeColor="text1"/>
                <w:sz w:val="20"/>
                <w:szCs w:val="20"/>
              </w:rPr>
            </w:pPr>
          </w:p>
        </w:tc>
        <w:tc>
          <w:tcPr>
            <w:tcW w:w="0" w:type="auto"/>
            <w:vMerge/>
          </w:tcPr>
          <w:p w:rsidR="004B238F" w:rsidRPr="004F5FEB" w:rsidRDefault="004B238F" w:rsidP="00F775BA">
            <w:pPr>
              <w:rPr>
                <w:rFonts w:asciiTheme="majorBidi" w:hAnsiTheme="majorBidi" w:cstheme="majorBidi"/>
                <w:color w:val="000000" w:themeColor="text1"/>
                <w:sz w:val="20"/>
                <w:szCs w:val="20"/>
              </w:rPr>
            </w:pPr>
          </w:p>
        </w:tc>
      </w:tr>
    </w:tbl>
    <w:p w:rsidR="004B238F" w:rsidRPr="004F5FEB" w:rsidRDefault="004B238F" w:rsidP="004B238F">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 = Non-significant (p &gt; 0.05).</w:t>
      </w:r>
    </w:p>
    <w:p w:rsidR="004B238F" w:rsidRPr="004F5FEB" w:rsidRDefault="004B238F" w:rsidP="004B238F">
      <w:pPr>
        <w:rPr>
          <w:rFonts w:asciiTheme="majorBidi" w:hAnsiTheme="majorBidi" w:cstheme="majorBidi"/>
          <w:b/>
          <w:bCs/>
          <w:color w:val="000000" w:themeColor="text1"/>
          <w:sz w:val="20"/>
          <w:szCs w:val="20"/>
          <w:rtl/>
        </w:rPr>
      </w:pPr>
    </w:p>
    <w:p w:rsidR="004B238F" w:rsidRPr="004F5FEB" w:rsidRDefault="004B238F" w:rsidP="004B238F">
      <w:pPr>
        <w:rPr>
          <w:rFonts w:asciiTheme="majorBidi" w:hAnsiTheme="majorBidi" w:cstheme="majorBidi"/>
          <w:b/>
          <w:bCs/>
          <w:color w:val="000000" w:themeColor="text1"/>
          <w:sz w:val="20"/>
          <w:szCs w:val="20"/>
          <w:rtl/>
        </w:rPr>
      </w:pPr>
    </w:p>
    <w:p w:rsidR="004B238F" w:rsidRPr="004F5FEB" w:rsidRDefault="004B238F" w:rsidP="004B238F">
      <w:pPr>
        <w:rPr>
          <w:rFonts w:asciiTheme="majorBidi" w:hAnsiTheme="majorBidi" w:cstheme="majorBidi"/>
          <w:b/>
          <w:bCs/>
          <w:color w:val="000000" w:themeColor="text1"/>
          <w:sz w:val="20"/>
          <w:szCs w:val="20"/>
          <w:rtl/>
        </w:rPr>
      </w:pPr>
    </w:p>
    <w:p w:rsidR="004B238F" w:rsidRPr="004F5FEB" w:rsidRDefault="004B238F" w:rsidP="004B238F">
      <w:pPr>
        <w:rPr>
          <w:rFonts w:asciiTheme="majorBidi" w:hAnsiTheme="majorBidi" w:cstheme="majorBidi"/>
          <w:color w:val="000000" w:themeColor="text1"/>
          <w:sz w:val="20"/>
          <w:szCs w:val="20"/>
        </w:rPr>
      </w:pPr>
      <w:r w:rsidRPr="004F5FEB">
        <w:rPr>
          <w:rFonts w:asciiTheme="majorBidi" w:hAnsiTheme="majorBidi" w:cstheme="majorBidi"/>
          <w:b/>
          <w:bCs/>
          <w:color w:val="000000" w:themeColor="text1"/>
          <w:sz w:val="20"/>
          <w:szCs w:val="20"/>
        </w:rPr>
        <w:t xml:space="preserve">Supplementary Table (5): </w:t>
      </w:r>
      <w:r w:rsidRPr="004F5FEB">
        <w:rPr>
          <w:rFonts w:asciiTheme="majorBidi" w:hAnsiTheme="majorBidi" w:cstheme="majorBidi"/>
          <w:color w:val="000000" w:themeColor="text1"/>
          <w:sz w:val="20"/>
          <w:szCs w:val="20"/>
        </w:rPr>
        <w:t xml:space="preserve">Comparison between the three studied groups regarding GCS among </w:t>
      </w:r>
      <w:proofErr w:type="gramStart"/>
      <w:r w:rsidRPr="004F5FEB">
        <w:rPr>
          <w:rFonts w:asciiTheme="majorBidi" w:hAnsiTheme="majorBidi" w:cstheme="majorBidi"/>
          <w:color w:val="000000" w:themeColor="text1"/>
          <w:sz w:val="20"/>
          <w:szCs w:val="20"/>
        </w:rPr>
        <w:t>alive</w:t>
      </w:r>
      <w:proofErr w:type="gramEnd"/>
      <w:r w:rsidRPr="004F5FEB">
        <w:rPr>
          <w:rFonts w:asciiTheme="majorBidi" w:hAnsiTheme="majorBidi" w:cstheme="majorBidi"/>
          <w:color w:val="000000" w:themeColor="text1"/>
          <w:sz w:val="20"/>
          <w:szCs w:val="20"/>
        </w:rPr>
        <w:t xml:space="preserve"> patients</w:t>
      </w:r>
    </w:p>
    <w:tbl>
      <w:tblPr>
        <w:tblStyle w:val="TableGrid1"/>
        <w:tblW w:w="0" w:type="auto"/>
        <w:tblLook w:val="04A0" w:firstRow="1" w:lastRow="0" w:firstColumn="1" w:lastColumn="0" w:noHBand="0" w:noVBand="1"/>
      </w:tblPr>
      <w:tblGrid>
        <w:gridCol w:w="2039"/>
        <w:gridCol w:w="1705"/>
        <w:gridCol w:w="1705"/>
        <w:gridCol w:w="1705"/>
        <w:gridCol w:w="1047"/>
        <w:gridCol w:w="842"/>
        <w:gridCol w:w="533"/>
      </w:tblGrid>
      <w:tr w:rsidR="004B238F" w:rsidRPr="004F5FEB" w:rsidTr="00F775BA">
        <w:tc>
          <w:tcPr>
            <w:tcW w:w="0" w:type="auto"/>
            <w:hideMark/>
          </w:tcPr>
          <w:p w:rsidR="004B238F" w:rsidRPr="004F5FEB" w:rsidRDefault="004B238F" w:rsidP="00F775BA">
            <w:pP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GCS in Alive Patients</w:t>
            </w:r>
          </w:p>
        </w:tc>
        <w:tc>
          <w:tcPr>
            <w:tcW w:w="0" w:type="auto"/>
            <w:hideMark/>
          </w:tcPr>
          <w:p w:rsidR="004B238F" w:rsidRPr="004F5FEB" w:rsidRDefault="004B238F" w:rsidP="00F775BA">
            <w:pP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Group I (n=20)</w:t>
            </w:r>
          </w:p>
        </w:tc>
        <w:tc>
          <w:tcPr>
            <w:tcW w:w="0" w:type="auto"/>
            <w:hideMark/>
          </w:tcPr>
          <w:p w:rsidR="004B238F" w:rsidRPr="004F5FEB" w:rsidRDefault="004B238F" w:rsidP="00F775BA">
            <w:pP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Group II (n=24)</w:t>
            </w:r>
          </w:p>
        </w:tc>
        <w:tc>
          <w:tcPr>
            <w:tcW w:w="0" w:type="auto"/>
            <w:hideMark/>
          </w:tcPr>
          <w:p w:rsidR="004B238F" w:rsidRPr="004F5FEB" w:rsidRDefault="004B238F" w:rsidP="00F775BA">
            <w:pP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Group III (n=25)</w:t>
            </w:r>
          </w:p>
        </w:tc>
        <w:tc>
          <w:tcPr>
            <w:tcW w:w="0" w:type="auto"/>
            <w:hideMark/>
          </w:tcPr>
          <w:p w:rsidR="004B238F" w:rsidRPr="004F5FEB" w:rsidRDefault="004B238F" w:rsidP="00F775BA">
            <w:pP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Test value</w:t>
            </w:r>
          </w:p>
        </w:tc>
        <w:tc>
          <w:tcPr>
            <w:tcW w:w="0" w:type="auto"/>
            <w:hideMark/>
          </w:tcPr>
          <w:p w:rsidR="004B238F" w:rsidRPr="004F5FEB" w:rsidRDefault="004B238F" w:rsidP="00F775BA">
            <w:pP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P-value</w:t>
            </w:r>
          </w:p>
        </w:tc>
        <w:tc>
          <w:tcPr>
            <w:tcW w:w="0" w:type="auto"/>
            <w:hideMark/>
          </w:tcPr>
          <w:p w:rsidR="004B238F" w:rsidRPr="004F5FEB" w:rsidRDefault="004B238F" w:rsidP="00F775BA">
            <w:pP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Sig.</w:t>
            </w:r>
          </w:p>
        </w:tc>
      </w:tr>
      <w:tr w:rsidR="004B238F" w:rsidRPr="004F5FEB" w:rsidTr="00F775BA">
        <w:tc>
          <w:tcPr>
            <w:tcW w:w="0" w:type="auto"/>
            <w:hideMark/>
          </w:tcPr>
          <w:p w:rsidR="004B238F" w:rsidRPr="004F5FEB" w:rsidRDefault="004B238F" w:rsidP="00F775BA">
            <w:pP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At admission</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9.00 ± 2.00 (6–12)</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9.00 ± 2.00 (6–12)</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8.00 ± 2.00 (5–12)</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0.525</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0.594</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On discharge</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12.55 ± 2.70 (7–15)</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13.88 ± 1.87 (9–15)</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13.36 ± 2.08 (8–15)</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1.967</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0.148</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NS</w:t>
            </w:r>
          </w:p>
        </w:tc>
      </w:tr>
      <w:tr w:rsidR="004B238F" w:rsidRPr="004F5FEB" w:rsidTr="00F775BA">
        <w:tc>
          <w:tcPr>
            <w:tcW w:w="0" w:type="auto"/>
            <w:hideMark/>
          </w:tcPr>
          <w:p w:rsidR="004B238F" w:rsidRPr="004F5FEB" w:rsidRDefault="004B238F" w:rsidP="00F775BA">
            <w:pP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Paired t-test</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7.384</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11.942</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15.325</w:t>
            </w:r>
          </w:p>
        </w:tc>
        <w:tc>
          <w:tcPr>
            <w:tcW w:w="0" w:type="auto"/>
            <w:hideMark/>
          </w:tcPr>
          <w:p w:rsidR="004B238F" w:rsidRPr="004F5FEB" w:rsidRDefault="004B238F" w:rsidP="00F775BA">
            <w:pPr>
              <w:rPr>
                <w:rFonts w:asciiTheme="majorBidi" w:hAnsiTheme="majorBidi" w:cstheme="majorBidi"/>
                <w:color w:val="000000" w:themeColor="text1"/>
                <w:sz w:val="20"/>
                <w:szCs w:val="20"/>
              </w:rPr>
            </w:pPr>
          </w:p>
        </w:tc>
        <w:tc>
          <w:tcPr>
            <w:tcW w:w="0" w:type="auto"/>
            <w:hideMark/>
          </w:tcPr>
          <w:p w:rsidR="004B238F" w:rsidRPr="004F5FEB" w:rsidRDefault="004B238F" w:rsidP="00F775BA">
            <w:pPr>
              <w:rPr>
                <w:rFonts w:asciiTheme="majorBidi" w:hAnsiTheme="majorBidi" w:cstheme="majorBidi"/>
                <w:color w:val="000000" w:themeColor="text1"/>
                <w:sz w:val="20"/>
                <w:szCs w:val="20"/>
              </w:rPr>
            </w:pPr>
          </w:p>
        </w:tc>
        <w:tc>
          <w:tcPr>
            <w:tcW w:w="0" w:type="auto"/>
            <w:hideMark/>
          </w:tcPr>
          <w:p w:rsidR="004B238F" w:rsidRPr="004F5FEB" w:rsidRDefault="004B238F" w:rsidP="00F775BA">
            <w:pPr>
              <w:rPr>
                <w:rFonts w:asciiTheme="majorBidi" w:hAnsiTheme="majorBidi" w:cstheme="majorBidi"/>
                <w:color w:val="000000" w:themeColor="text1"/>
                <w:sz w:val="20"/>
                <w:szCs w:val="20"/>
              </w:rPr>
            </w:pPr>
          </w:p>
        </w:tc>
      </w:tr>
      <w:tr w:rsidR="004B238F" w:rsidRPr="004F5FEB" w:rsidTr="00F775BA">
        <w:tc>
          <w:tcPr>
            <w:tcW w:w="0" w:type="auto"/>
            <w:hideMark/>
          </w:tcPr>
          <w:p w:rsidR="004B238F" w:rsidRPr="004F5FEB" w:rsidRDefault="004B238F" w:rsidP="00F775BA">
            <w:pPr>
              <w:rPr>
                <w:rFonts w:asciiTheme="majorBidi" w:hAnsiTheme="majorBidi" w:cstheme="majorBidi"/>
                <w:b/>
                <w:bCs/>
                <w:color w:val="000000" w:themeColor="text1"/>
                <w:sz w:val="20"/>
                <w:szCs w:val="20"/>
              </w:rPr>
            </w:pPr>
            <w:r w:rsidRPr="004F5FEB">
              <w:rPr>
                <w:rFonts w:asciiTheme="majorBidi" w:hAnsiTheme="majorBidi" w:cstheme="majorBidi"/>
                <w:b/>
                <w:bCs/>
                <w:color w:val="000000" w:themeColor="text1"/>
                <w:sz w:val="20"/>
                <w:szCs w:val="20"/>
              </w:rPr>
              <w:t>P-value (within group)</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&lt;0.001</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&lt;0.001</w:t>
            </w: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&lt;0.001</w:t>
            </w:r>
          </w:p>
        </w:tc>
        <w:tc>
          <w:tcPr>
            <w:tcW w:w="0" w:type="auto"/>
            <w:hideMark/>
          </w:tcPr>
          <w:p w:rsidR="004B238F" w:rsidRPr="004F5FEB" w:rsidRDefault="004B238F" w:rsidP="00F775BA">
            <w:pPr>
              <w:rPr>
                <w:rFonts w:asciiTheme="majorBidi" w:hAnsiTheme="majorBidi" w:cstheme="majorBidi"/>
                <w:color w:val="000000" w:themeColor="text1"/>
                <w:sz w:val="20"/>
                <w:szCs w:val="20"/>
              </w:rPr>
            </w:pPr>
          </w:p>
        </w:tc>
        <w:tc>
          <w:tcPr>
            <w:tcW w:w="0" w:type="auto"/>
            <w:hideMark/>
          </w:tcPr>
          <w:p w:rsidR="004B238F" w:rsidRPr="004F5FEB" w:rsidRDefault="004B238F" w:rsidP="00F775BA">
            <w:pPr>
              <w:rPr>
                <w:rFonts w:asciiTheme="majorBidi" w:hAnsiTheme="majorBidi" w:cstheme="majorBidi"/>
                <w:color w:val="000000" w:themeColor="text1"/>
                <w:sz w:val="20"/>
                <w:szCs w:val="20"/>
              </w:rPr>
            </w:pPr>
          </w:p>
        </w:tc>
        <w:tc>
          <w:tcPr>
            <w:tcW w:w="0" w:type="auto"/>
            <w:hideMark/>
          </w:tcPr>
          <w:p w:rsidR="004B238F" w:rsidRPr="004F5FEB" w:rsidRDefault="004B238F" w:rsidP="00F775BA">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HS</w:t>
            </w:r>
          </w:p>
        </w:tc>
      </w:tr>
    </w:tbl>
    <w:p w:rsidR="004B238F" w:rsidRDefault="004B238F" w:rsidP="004B238F">
      <w:pPr>
        <w:rPr>
          <w:rFonts w:asciiTheme="majorBidi" w:hAnsiTheme="majorBidi" w:cstheme="majorBidi"/>
          <w:color w:val="000000" w:themeColor="text1"/>
          <w:sz w:val="20"/>
          <w:szCs w:val="20"/>
        </w:rPr>
      </w:pPr>
      <w:r w:rsidRPr="004F5FEB">
        <w:rPr>
          <w:rFonts w:asciiTheme="majorBidi" w:hAnsiTheme="majorBidi" w:cstheme="majorBidi"/>
          <w:color w:val="000000" w:themeColor="text1"/>
          <w:sz w:val="20"/>
          <w:szCs w:val="20"/>
        </w:rPr>
        <w:t xml:space="preserve">NS = Non-significant (p &gt; 0.05); HS = </w:t>
      </w:r>
      <w:proofErr w:type="gramStart"/>
      <w:r w:rsidRPr="004F5FEB">
        <w:rPr>
          <w:rFonts w:asciiTheme="majorBidi" w:hAnsiTheme="majorBidi" w:cstheme="majorBidi"/>
          <w:color w:val="000000" w:themeColor="text1"/>
          <w:sz w:val="20"/>
          <w:szCs w:val="20"/>
        </w:rPr>
        <w:t>Highly</w:t>
      </w:r>
      <w:proofErr w:type="gramEnd"/>
      <w:r w:rsidRPr="004F5FEB">
        <w:rPr>
          <w:rFonts w:asciiTheme="majorBidi" w:hAnsiTheme="majorBidi" w:cstheme="majorBidi"/>
          <w:color w:val="000000" w:themeColor="text1"/>
          <w:sz w:val="20"/>
          <w:szCs w:val="20"/>
        </w:rPr>
        <w:t xml:space="preserve"> significant (p &lt; 0.01); SD = Standard deviation; GCS = Glasgow Coma Scale.</w:t>
      </w:r>
    </w:p>
    <w:p w:rsidR="004B238F" w:rsidRPr="004F5FEB" w:rsidRDefault="004B238F" w:rsidP="004B238F">
      <w:pPr>
        <w:rPr>
          <w:rFonts w:asciiTheme="majorBidi" w:hAnsiTheme="majorBidi" w:cstheme="majorBidi"/>
          <w:color w:val="000000" w:themeColor="text1"/>
          <w:sz w:val="20"/>
          <w:szCs w:val="20"/>
          <w:rtl/>
        </w:rPr>
      </w:pPr>
      <w:bookmarkStart w:id="1" w:name="_GoBack"/>
      <w:bookmarkEnd w:id="1"/>
    </w:p>
    <w:p w:rsidR="004B238F" w:rsidRPr="004F5FEB" w:rsidRDefault="004B238F" w:rsidP="004B238F">
      <w:pPr>
        <w:shd w:val="clear" w:color="auto" w:fill="FFFFFF"/>
        <w:rPr>
          <w:rFonts w:eastAsia="Aptos"/>
          <w:b/>
          <w:bCs/>
          <w:kern w:val="2"/>
          <w:sz w:val="20"/>
          <w:szCs w:val="20"/>
          <w14:ligatures w14:val="standardContextual"/>
        </w:rPr>
      </w:pPr>
      <w:r w:rsidRPr="004F5FEB">
        <w:rPr>
          <w:rFonts w:asciiTheme="majorBidi" w:hAnsiTheme="majorBidi" w:cstheme="majorBidi"/>
          <w:b/>
          <w:bCs/>
          <w:color w:val="000000" w:themeColor="text1"/>
          <w:sz w:val="20"/>
          <w:szCs w:val="20"/>
        </w:rPr>
        <w:t xml:space="preserve">Supplementary Table (6): </w:t>
      </w:r>
      <w:r w:rsidRPr="004F5FEB">
        <w:rPr>
          <w:rFonts w:eastAsia="Aptos"/>
          <w:kern w:val="2"/>
          <w:sz w:val="20"/>
          <w:szCs w:val="20"/>
          <w14:ligatures w14:val="standardContextual"/>
        </w:rPr>
        <w:t>Daily Median Heart Rate (bpm) and Systolic Blood Pressure (mmHg) with Interquartile Range (IQR) by Study Group over the 14-Day Observation Period</w:t>
      </w:r>
    </w:p>
    <w:tbl>
      <w:tblPr>
        <w:tblStyle w:val="TableGrid2"/>
        <w:tblW w:w="0" w:type="auto"/>
        <w:tblLook w:val="04A0" w:firstRow="1" w:lastRow="0" w:firstColumn="1" w:lastColumn="0" w:noHBand="0" w:noVBand="1"/>
      </w:tblPr>
      <w:tblGrid>
        <w:gridCol w:w="550"/>
        <w:gridCol w:w="1638"/>
        <w:gridCol w:w="2038"/>
        <w:gridCol w:w="2205"/>
      </w:tblGrid>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Day</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Group I (Control)</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Group II (Propranolol)</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Group III (Combination)</w:t>
            </w:r>
          </w:p>
        </w:tc>
      </w:tr>
      <w:tr w:rsidR="004B238F" w:rsidRPr="004F5FEB" w:rsidTr="00F775BA">
        <w:tc>
          <w:tcPr>
            <w:tcW w:w="0" w:type="auto"/>
            <w:gridSpan w:val="4"/>
            <w:hideMark/>
          </w:tcPr>
          <w:p w:rsidR="004B238F" w:rsidRPr="004F5FEB" w:rsidRDefault="004B238F" w:rsidP="00F775BA">
            <w:pPr>
              <w:jc w:val="center"/>
              <w:rPr>
                <w:rFonts w:eastAsia="Aptos"/>
                <w:b/>
                <w:bCs/>
                <w:color w:val="000000"/>
                <w:sz w:val="20"/>
                <w:szCs w:val="20"/>
              </w:rPr>
            </w:pPr>
            <w:r w:rsidRPr="004F5FEB">
              <w:rPr>
                <w:rFonts w:eastAsia="Aptos"/>
                <w:b/>
                <w:bCs/>
                <w:color w:val="000000"/>
                <w:sz w:val="20"/>
                <w:szCs w:val="20"/>
              </w:rPr>
              <w:t>HR (bpm), Median (IQR)</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0</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115 (113 - 117)</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114 (112 - 116)</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116 (114 - 118)</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118 (116 - 120)</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105 (103 - 107)</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102 (100 - 104)</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2</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125 (122 - 128)</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98 (96 - 100)</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95 (93 - 97)</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3</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122 (119 - 125)</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92 (90 - 94)</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88 (86 - 90)</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4</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130 (127 - 133)</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90 (88 - 92)</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86 (84 - 88)</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5</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128 (125 - 131)</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88 (86 - 90)</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85 (83 - 87)</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6</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120 (117 - 123)</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87 (85 - 89)</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84 (82 - 86)</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7</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118 (115 - 121)</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86 (84 - 88)</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83 (81 - 85)</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124 (121 - 127)</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85 (83 - 87)</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82 (80 - 84)</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9</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119 (116 - 122)</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85 (83 - 87)</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82 (80 - 84)</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116 (113 - 119)</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84 (82 - 86)</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81 (79 - 83)</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113 (110 - 116)</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84 (82 - 86)</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81 (79 - 83)</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12</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112 (109 - 115)</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83 (81 - 85)</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80 (78 - 82)</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13</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111 (108 - 114)</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83 (81 - 85)</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80 (78 - 82)</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14</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110 (107 - 113)</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83 (81 - 85)</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80 (78 - 82)</w:t>
            </w:r>
          </w:p>
        </w:tc>
      </w:tr>
      <w:tr w:rsidR="004B238F" w:rsidRPr="004F5FEB" w:rsidTr="00F775BA">
        <w:tc>
          <w:tcPr>
            <w:tcW w:w="0" w:type="auto"/>
            <w:gridSpan w:val="4"/>
            <w:hideMark/>
          </w:tcPr>
          <w:p w:rsidR="004B238F" w:rsidRPr="004F5FEB" w:rsidRDefault="004B238F" w:rsidP="00F775BA">
            <w:pPr>
              <w:jc w:val="center"/>
              <w:rPr>
                <w:rFonts w:eastAsia="Aptos"/>
                <w:color w:val="000000"/>
                <w:sz w:val="20"/>
                <w:szCs w:val="20"/>
              </w:rPr>
            </w:pPr>
            <w:r w:rsidRPr="004F5FEB">
              <w:rPr>
                <w:rFonts w:eastAsia="Aptos"/>
                <w:b/>
                <w:bCs/>
                <w:color w:val="000000"/>
                <w:sz w:val="20"/>
                <w:szCs w:val="20"/>
              </w:rPr>
              <w:t>SBP (mmHg), Median (IQR)</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0</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134 (130 - 138)</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132 (128 - 136)</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136 (132 - 140)</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142 (138 - 146)</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128 (124 - 132)</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125 (121 - 129)</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2</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148 (144 - 152)</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122 (118 - 126)</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118 (114 - 122)</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3</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145 (141 - 149)</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118 (114 - 122)</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112 (108 - 116)</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4</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152 (148 - 156)</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116 (112 - 120)</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110 (106 - 114)</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5</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150 (146 - 154)</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114 (110 - 118)</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108 (104 - 112)</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lastRenderedPageBreak/>
              <w:t>6</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142 (138 - 146)</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112 (108 - 116)</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106 (102 - 110)</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7</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140 (136 - 144)</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110 (106 - 114)</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104 (100 - 108)</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8</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146 (142 - 150)</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108 (104 - 112)</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102 (98 - 106)</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9</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141 (137 - 145)</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108 (104 - 112)</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102 (98 - 106)</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138 (134 - 142)</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106 (102 - 110)</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100 (96 - 104)</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11</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135 (131 - 139)</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106 (102 - 110)</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100 (96 - 104)</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12</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134 (130 - 138)</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104 (100 - 108)</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98 (94 - 102)</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13</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133 (129 - 137)</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104 (100 - 108)</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98 (94 - 102)</w:t>
            </w:r>
          </w:p>
        </w:tc>
      </w:tr>
      <w:tr w:rsidR="004B238F" w:rsidRPr="004F5FEB" w:rsidTr="00F775BA">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14</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132 (128 - 136)</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104 (100 - 108)</w:t>
            </w:r>
          </w:p>
        </w:tc>
        <w:tc>
          <w:tcPr>
            <w:tcW w:w="0" w:type="auto"/>
            <w:hideMark/>
          </w:tcPr>
          <w:p w:rsidR="004B238F" w:rsidRPr="004F5FEB" w:rsidRDefault="004B238F" w:rsidP="00F775BA">
            <w:pPr>
              <w:jc w:val="center"/>
              <w:rPr>
                <w:rFonts w:eastAsia="Aptos"/>
                <w:color w:val="000000"/>
                <w:sz w:val="20"/>
                <w:szCs w:val="20"/>
              </w:rPr>
            </w:pPr>
            <w:r w:rsidRPr="004F5FEB">
              <w:rPr>
                <w:rFonts w:eastAsia="Aptos"/>
                <w:color w:val="000000"/>
                <w:sz w:val="20"/>
                <w:szCs w:val="20"/>
              </w:rPr>
              <w:t>98 (94 - 102)</w:t>
            </w:r>
          </w:p>
        </w:tc>
      </w:tr>
    </w:tbl>
    <w:p w:rsidR="004B238F" w:rsidRPr="004F5FEB" w:rsidRDefault="004B238F" w:rsidP="004B238F">
      <w:pPr>
        <w:rPr>
          <w:rFonts w:eastAsia="Aptos"/>
          <w:color w:val="000000"/>
          <w:sz w:val="20"/>
          <w:szCs w:val="20"/>
        </w:rPr>
      </w:pPr>
      <w:r w:rsidRPr="004F5FEB">
        <w:rPr>
          <w:rFonts w:eastAsia="Aptos"/>
          <w:color w:val="000000"/>
          <w:sz w:val="20"/>
          <w:szCs w:val="20"/>
        </w:rPr>
        <w:t>Values are presented as median with interquartile range (IQR) for Group I (Control), Group II (Propranolol), and Group III (Combination therapy) from Day 0 (therapy initiation) to Day 14. Both treatment groups (II and III) exhibit a sustained reduction in median values throughout the monitoring period compared to the control group, with Group III showing the most pronounced and stable attenuation. This pattern confirms the expected pharmacological effect of the interventions on key autonomic parameters. Abbreviations: bpm</w:t>
      </w:r>
      <w:r w:rsidRPr="004F5FEB">
        <w:rPr>
          <w:rFonts w:asciiTheme="majorBidi" w:hAnsiTheme="majorBidi" w:cstheme="majorBidi"/>
          <w:color w:val="000000" w:themeColor="text1"/>
          <w:sz w:val="20"/>
          <w:szCs w:val="20"/>
        </w:rPr>
        <w:t xml:space="preserve">: </w:t>
      </w:r>
      <w:r w:rsidRPr="004F5FEB">
        <w:rPr>
          <w:rFonts w:eastAsia="Aptos"/>
          <w:color w:val="000000"/>
          <w:sz w:val="20"/>
          <w:szCs w:val="20"/>
        </w:rPr>
        <w:t>beats per minute; HR: heart rate</w:t>
      </w:r>
      <w:r w:rsidRPr="004F5FEB">
        <w:rPr>
          <w:rFonts w:asciiTheme="majorBidi" w:hAnsiTheme="majorBidi" w:cstheme="majorBidi"/>
          <w:color w:val="000000" w:themeColor="text1"/>
          <w:sz w:val="20"/>
          <w:szCs w:val="20"/>
        </w:rPr>
        <w:t xml:space="preserve">; </w:t>
      </w:r>
      <w:r w:rsidRPr="004F5FEB">
        <w:rPr>
          <w:rFonts w:eastAsia="Aptos"/>
          <w:color w:val="000000"/>
          <w:sz w:val="20"/>
          <w:szCs w:val="20"/>
        </w:rPr>
        <w:t>IQR: interquartile range; SBP: systolic blood pressure.</w:t>
      </w:r>
    </w:p>
    <w:p w:rsidR="00091723" w:rsidRDefault="004B238F"/>
    <w:sectPr w:rsidR="000917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38F"/>
    <w:rsid w:val="004B238F"/>
    <w:rsid w:val="00AA0270"/>
    <w:rsid w:val="00ED1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3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B238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B238F"/>
    <w:pPr>
      <w:spacing w:after="240"/>
    </w:pPr>
  </w:style>
  <w:style w:type="table" w:customStyle="1" w:styleId="TableGrid2">
    <w:name w:val="Table Grid2"/>
    <w:basedOn w:val="TableNormal"/>
    <w:next w:val="TableGrid"/>
    <w:uiPriority w:val="39"/>
    <w:rsid w:val="004B238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B2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3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B238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B238F"/>
    <w:pPr>
      <w:spacing w:after="240"/>
    </w:pPr>
  </w:style>
  <w:style w:type="table" w:customStyle="1" w:styleId="TableGrid2">
    <w:name w:val="Table Grid2"/>
    <w:basedOn w:val="TableNormal"/>
    <w:next w:val="TableGrid"/>
    <w:uiPriority w:val="39"/>
    <w:rsid w:val="004B238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B2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1067</Words>
  <Characters>6082</Characters>
  <Application>Microsoft Office Word</Application>
  <DocSecurity>0</DocSecurity>
  <Lines>50</Lines>
  <Paragraphs>14</Paragraphs>
  <ScaleCrop>false</ScaleCrop>
  <Company/>
  <LinksUpToDate>false</LinksUpToDate>
  <CharactersWithSpaces>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Nica Aguilar</dc:creator>
  <cp:lastModifiedBy>Jean Nica Aguilar</cp:lastModifiedBy>
  <cp:revision>1</cp:revision>
  <dcterms:created xsi:type="dcterms:W3CDTF">2026-04-01T05:22:00Z</dcterms:created>
  <dcterms:modified xsi:type="dcterms:W3CDTF">2026-04-01T05:23:00Z</dcterms:modified>
</cp:coreProperties>
</file>