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A87" w:rsidRPr="0046652D" w:rsidRDefault="00295A87" w:rsidP="00295A87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123586">
        <w:rPr>
          <w:rFonts w:ascii="Times New Roman" w:hAnsi="Times New Roman" w:cs="Times New Roman"/>
          <w:b/>
          <w:bCs/>
          <w:sz w:val="24"/>
          <w:szCs w:val="24"/>
        </w:rPr>
        <w:t>Table S1. STROBE Statement</w:t>
      </w:r>
      <w:r w:rsidRPr="00123586">
        <w:rPr>
          <w:rFonts w:ascii="Times New Roman" w:hAnsi="Times New Roman" w:cs="Times New Roman"/>
          <w:sz w:val="24"/>
          <w:szCs w:val="24"/>
        </w:rPr>
        <w:t xml:space="preserve"> </w:t>
      </w:r>
      <w:r w:rsidRPr="0046652D">
        <w:rPr>
          <w:rFonts w:ascii="Times New Roman" w:hAnsi="Times New Roman" w:cs="Times New Roman"/>
          <w:sz w:val="24"/>
          <w:szCs w:val="24"/>
        </w:rPr>
        <w:t>— Checklist of items that should be included in reports of cohort studies.</w:t>
      </w:r>
    </w:p>
    <w:p w:rsidR="00295A87" w:rsidRPr="00EA101E" w:rsidRDefault="00295A87" w:rsidP="00295A87">
      <w:pPr>
        <w:spacing w:after="120"/>
        <w:rPr>
          <w:rFonts w:ascii="Times New Roman" w:hAnsi="Times New Roman" w:cs="Times New Roman"/>
        </w:rPr>
      </w:pPr>
      <w:r w:rsidRPr="00EA101E">
        <w:rPr>
          <w:rFonts w:ascii="Times New Roman" w:hAnsi="Times New Roman" w:cs="Times New Roman"/>
          <w:i/>
          <w:iCs/>
        </w:rPr>
        <w:t xml:space="preserve">von Elm E, Altman DG, Egger M, </w:t>
      </w:r>
      <w:proofErr w:type="spellStart"/>
      <w:r w:rsidRPr="00EA101E">
        <w:rPr>
          <w:rFonts w:ascii="Times New Roman" w:hAnsi="Times New Roman" w:cs="Times New Roman"/>
          <w:i/>
          <w:iCs/>
        </w:rPr>
        <w:t>Pocock</w:t>
      </w:r>
      <w:proofErr w:type="spellEnd"/>
      <w:r w:rsidRPr="00EA101E">
        <w:rPr>
          <w:rFonts w:ascii="Times New Roman" w:hAnsi="Times New Roman" w:cs="Times New Roman"/>
          <w:i/>
          <w:iCs/>
        </w:rPr>
        <w:t xml:space="preserve"> SJ, </w:t>
      </w:r>
      <w:proofErr w:type="spellStart"/>
      <w:r w:rsidRPr="00EA101E">
        <w:rPr>
          <w:rFonts w:ascii="Times New Roman" w:hAnsi="Times New Roman" w:cs="Times New Roman"/>
          <w:i/>
          <w:iCs/>
        </w:rPr>
        <w:t>Gøtzsche</w:t>
      </w:r>
      <w:proofErr w:type="spellEnd"/>
      <w:r w:rsidRPr="00EA101E">
        <w:rPr>
          <w:rFonts w:ascii="Times New Roman" w:hAnsi="Times New Roman" w:cs="Times New Roman"/>
          <w:i/>
          <w:iCs/>
        </w:rPr>
        <w:t xml:space="preserve"> PC, </w:t>
      </w:r>
      <w:proofErr w:type="spellStart"/>
      <w:r w:rsidRPr="00EA101E">
        <w:rPr>
          <w:rFonts w:ascii="Times New Roman" w:hAnsi="Times New Roman" w:cs="Times New Roman"/>
          <w:i/>
          <w:iCs/>
        </w:rPr>
        <w:t>Vandenbroucke</w:t>
      </w:r>
      <w:proofErr w:type="spellEnd"/>
      <w:r w:rsidRPr="00EA101E">
        <w:rPr>
          <w:rFonts w:ascii="Times New Roman" w:hAnsi="Times New Roman" w:cs="Times New Roman"/>
          <w:i/>
          <w:iCs/>
        </w:rPr>
        <w:t xml:space="preserve"> JP; STROBE Initiative. Ann Intern Med. 2007</w:t>
      </w:r>
      <w:proofErr w:type="gramStart"/>
      <w:r w:rsidRPr="00EA101E">
        <w:rPr>
          <w:rFonts w:ascii="Times New Roman" w:hAnsi="Times New Roman" w:cs="Times New Roman"/>
          <w:i/>
          <w:iCs/>
        </w:rPr>
        <w:t>;147</w:t>
      </w:r>
      <w:proofErr w:type="gramEnd"/>
      <w:r w:rsidRPr="00EA101E">
        <w:rPr>
          <w:rFonts w:ascii="Times New Roman" w:hAnsi="Times New Roman" w:cs="Times New Roman"/>
          <w:i/>
          <w:iCs/>
        </w:rPr>
        <w:t>(8):573-577.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10"/>
        <w:gridCol w:w="3062"/>
        <w:gridCol w:w="865"/>
        <w:gridCol w:w="4223"/>
      </w:tblGrid>
      <w:tr w:rsidR="00295A87" w:rsidTr="00B542D3">
        <w:tc>
          <w:tcPr>
            <w:tcW w:w="7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B579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Item No.</w:t>
            </w:r>
          </w:p>
        </w:tc>
        <w:tc>
          <w:tcPr>
            <w:tcW w:w="3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B579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STROBE Item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B579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Page</w:t>
            </w:r>
          </w:p>
        </w:tc>
        <w:tc>
          <w:tcPr>
            <w:tcW w:w="4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B579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Comment / Location in Manuscript</w:t>
            </w:r>
          </w:p>
        </w:tc>
      </w:tr>
      <w:tr w:rsidR="00295A87" w:rsidTr="00B542D3">
        <w:tc>
          <w:tcPr>
            <w:tcW w:w="7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8EEF4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Default="00295A87" w:rsidP="00B542D3">
            <w:r w:rsidRPr="00932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Title and Abstract</w:t>
            </w:r>
          </w:p>
        </w:tc>
        <w:tc>
          <w:tcPr>
            <w:tcW w:w="3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8EEF4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Default="00295A87" w:rsidP="00B542D3"/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8EEF4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Default="00295A87" w:rsidP="00B542D3"/>
        </w:tc>
        <w:tc>
          <w:tcPr>
            <w:tcW w:w="4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8EEF4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Default="00295A87" w:rsidP="00B542D3"/>
        </w:tc>
      </w:tr>
      <w:tr w:rsidR="00295A87" w:rsidTr="00B542D3">
        <w:tc>
          <w:tcPr>
            <w:tcW w:w="7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jc w:val="center"/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Title/Abstract: (a) Indicate the study’s design with a commonly used term in the title or abstract; (b) Provide an informative and balanced summary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jc w:val="center"/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1–3</w:t>
            </w:r>
          </w:p>
        </w:tc>
        <w:tc>
          <w:tcPr>
            <w:tcW w:w="4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Study design stated in title (“retrospective cohort study”). Abstract provides structured summary with Background, Methods, Results, </w:t>
            </w:r>
            <w:proofErr w:type="gramStart"/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Conclusions</w:t>
            </w:r>
            <w:proofErr w:type="gramEnd"/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95A87" w:rsidTr="00B542D3">
        <w:tc>
          <w:tcPr>
            <w:tcW w:w="7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8EEF4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Introduction</w:t>
            </w:r>
          </w:p>
        </w:tc>
        <w:tc>
          <w:tcPr>
            <w:tcW w:w="3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8EEF4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8EEF4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8EEF4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</w:p>
        </w:tc>
      </w:tr>
      <w:tr w:rsidR="00295A87" w:rsidTr="00B542D3">
        <w:tc>
          <w:tcPr>
            <w:tcW w:w="7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jc w:val="center"/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Background/rationale: Explain the scientific background and rationale for the investigation being reported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jc w:val="center"/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4–5</w:t>
            </w:r>
          </w:p>
        </w:tc>
        <w:tc>
          <w:tcPr>
            <w:tcW w:w="4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Introduction paragraphs 1–4: DDL significance, prevalence variability, bedside tool limitations, </w:t>
            </w:r>
            <w:proofErr w:type="gramStart"/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Southeast</w:t>
            </w:r>
            <w:proofErr w:type="gramEnd"/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Asian literature gap.</w:t>
            </w:r>
          </w:p>
        </w:tc>
      </w:tr>
      <w:tr w:rsidR="00295A87" w:rsidTr="00B542D3">
        <w:tc>
          <w:tcPr>
            <w:tcW w:w="7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jc w:val="center"/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Objectives: State specific objectives, including any </w:t>
            </w:r>
            <w:proofErr w:type="spellStart"/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prespecified</w:t>
            </w:r>
            <w:proofErr w:type="spellEnd"/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hypotheses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jc w:val="center"/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Three objectives stated: (</w:t>
            </w:r>
            <w:proofErr w:type="spellStart"/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) prevalence, (ii) independent predictors, (iii) composite score discrimination. “Objectives” paragraph.</w:t>
            </w:r>
          </w:p>
        </w:tc>
      </w:tr>
      <w:tr w:rsidR="00295A87" w:rsidTr="00B542D3">
        <w:tc>
          <w:tcPr>
            <w:tcW w:w="7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8EEF4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Methods</w:t>
            </w:r>
          </w:p>
        </w:tc>
        <w:tc>
          <w:tcPr>
            <w:tcW w:w="3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8EEF4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8EEF4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8EEF4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</w:p>
        </w:tc>
      </w:tr>
      <w:tr w:rsidR="00295A87" w:rsidTr="00B542D3">
        <w:tc>
          <w:tcPr>
            <w:tcW w:w="7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jc w:val="center"/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Study design: Present key elements of study design early in the paper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jc w:val="center"/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Retrospective cohort study, January–June 2023. “Study Design and Setting” subsection.</w:t>
            </w:r>
          </w:p>
        </w:tc>
      </w:tr>
      <w:tr w:rsidR="00295A87" w:rsidTr="00B542D3">
        <w:tc>
          <w:tcPr>
            <w:tcW w:w="7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jc w:val="center"/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Setting: Describe the setting, locations, and relevant dates, including periods of recruitment, exposure, follow-up, and data collection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jc w:val="center"/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  <w:proofErr w:type="spellStart"/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Preah</w:t>
            </w:r>
            <w:proofErr w:type="spellEnd"/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Ang</w:t>
            </w:r>
            <w:proofErr w:type="spellEnd"/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Duong Hospital, Phnom Penh, Cambodia. Study period: 1 January–30 June 2023.</w:t>
            </w:r>
          </w:p>
        </w:tc>
      </w:tr>
      <w:tr w:rsidR="00295A87" w:rsidTr="00B542D3">
        <w:tc>
          <w:tcPr>
            <w:tcW w:w="7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jc w:val="center"/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Participants: (a) Give eligibility criteria, sources and methods of selection; (b) For cohort studies, describe follow-up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jc w:val="center"/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(a) Adults ≥18 years, elective surgery, planned Macintosh DL. Exclusion criteria detailed. (b) Single cross-sectional assessment; no longitudinal follow-up. Figure 1 (flowchart).</w:t>
            </w:r>
          </w:p>
        </w:tc>
      </w:tr>
      <w:tr w:rsidR="00295A87" w:rsidTr="00B542D3">
        <w:tc>
          <w:tcPr>
            <w:tcW w:w="7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jc w:val="center"/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Variables: Clearly define all outcomes, exposures, predictors, potential confounders, and effect modifiers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533BFB" w:rsidRDefault="00295A87" w:rsidP="00B542D3">
            <w:pPr>
              <w:jc w:val="center"/>
              <w:rPr>
                <w:sz w:val="20"/>
                <w:szCs w:val="20"/>
              </w:rPr>
            </w:pPr>
            <w:r w:rsidRPr="00533BFB">
              <w:rPr>
                <w:rFonts w:ascii="Times New Roman" w:eastAsia="Times New Roman" w:hAnsi="Times New Roman" w:cs="Times New Roman"/>
                <w:sz w:val="20"/>
                <w:szCs w:val="20"/>
              </w:rPr>
              <w:t>7–8</w:t>
            </w:r>
          </w:p>
        </w:tc>
        <w:tc>
          <w:tcPr>
            <w:tcW w:w="4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DDL outcome defined (C-L III/IV or ≥3 attempts). Seven bedside predictors defined with measurement techniques, instruments, anatomical landmarks, and high-risk cutoffs. H&amp;N surgical category defined as covariate. ASA and indication variables specified.</w:t>
            </w:r>
          </w:p>
        </w:tc>
      </w:tr>
      <w:tr w:rsidR="00295A87" w:rsidTr="00B542D3">
        <w:tc>
          <w:tcPr>
            <w:tcW w:w="7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jc w:val="center"/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Data sources/measurement: For each variable, give sources of data and details of methods of assessment (measurement). Describe comparability of </w:t>
            </w: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assessment methods if there is more than one group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533BFB" w:rsidRDefault="00295A87" w:rsidP="00B542D3">
            <w:pPr>
              <w:jc w:val="center"/>
              <w:rPr>
                <w:sz w:val="20"/>
                <w:szCs w:val="20"/>
              </w:rPr>
            </w:pPr>
            <w:r w:rsidRPr="00533BF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7–8</w:t>
            </w:r>
          </w:p>
        </w:tc>
        <w:tc>
          <w:tcPr>
            <w:tcW w:w="4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Standardized departmental anesthesia record described. Measurement technique for each predictor specified (</w:t>
            </w:r>
            <w:proofErr w:type="spellStart"/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Mallampati</w:t>
            </w:r>
            <w:proofErr w:type="spellEnd"/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seated, no phonation; TMD: rigid ruler, mouth closed, head extended; NC: flexible tape at thyroid cartilage; IIG: ruler/caliper; neck mobility: clinical visual </w:t>
            </w: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estimation; ULBT: I–III grading). Inter-rater reliability limitation acknowledged.</w:t>
            </w:r>
          </w:p>
        </w:tc>
      </w:tr>
      <w:tr w:rsidR="00295A87" w:rsidTr="00B542D3">
        <w:tc>
          <w:tcPr>
            <w:tcW w:w="7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jc w:val="center"/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3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Bias: Describe any efforts to address potential sources of bias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533BFB" w:rsidRDefault="00295A87" w:rsidP="00B542D3">
            <w:pPr>
              <w:jc w:val="center"/>
              <w:rPr>
                <w:sz w:val="20"/>
                <w:szCs w:val="20"/>
              </w:rPr>
            </w:pPr>
            <w:r w:rsidRPr="00533BFB">
              <w:rPr>
                <w:rFonts w:ascii="Times New Roman" w:eastAsia="Times New Roman" w:hAnsi="Times New Roman" w:cs="Times New Roman"/>
                <w:sz w:val="20"/>
                <w:szCs w:val="20"/>
              </w:rPr>
              <w:t>6, 28–29</w:t>
            </w:r>
          </w:p>
        </w:tc>
        <w:tc>
          <w:tcPr>
            <w:tcW w:w="4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Excluded patient comparison attempted (age, sex). Trainee supervision and attending C-L confirmation described. Limitations section addresses documentation bias, measurement variability, </w:t>
            </w:r>
            <w:proofErr w:type="gramStart"/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selection</w:t>
            </w:r>
            <w:proofErr w:type="gramEnd"/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bias from missing data, single-center design, and residual confounding.</w:t>
            </w:r>
          </w:p>
        </w:tc>
      </w:tr>
      <w:tr w:rsidR="00295A87" w:rsidTr="00B542D3">
        <w:tc>
          <w:tcPr>
            <w:tcW w:w="7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jc w:val="center"/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Study size: Explain how the study size was arrived at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Sample size considerations: 278 DDL events / 7 predictors = EPV ≈40, exceeding minimum 10–20 EPV threshold [51].</w:t>
            </w:r>
          </w:p>
        </w:tc>
      </w:tr>
      <w:tr w:rsidR="00295A87" w:rsidTr="00B542D3">
        <w:tc>
          <w:tcPr>
            <w:tcW w:w="7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jc w:val="center"/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Quantitative variables: Explain how quantitative variables were handled in the analyses. If applicable, describe which groupings were chosen and why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jc w:val="center"/>
              <w:rPr>
                <w:sz w:val="20"/>
                <w:szCs w:val="20"/>
              </w:rPr>
            </w:pPr>
            <w:r w:rsidRPr="00CD578E">
              <w:rPr>
                <w:rFonts w:ascii="Times New Roman" w:eastAsia="Times New Roman" w:hAnsi="Times New Roman" w:cs="Times New Roman"/>
                <w:sz w:val="20"/>
                <w:szCs w:val="20"/>
              </w:rPr>
              <w:t>7–8</w:t>
            </w:r>
          </w:p>
        </w:tc>
        <w:tc>
          <w:tcPr>
            <w:tcW w:w="4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All predictors dichotomized at a priori clinically established cutoffs (e.g., BMI ≥27.5 kg/m² per WHO Asian threshold; TMD ≤6.5 cm; NC ≥40 cm). Rationale provided for each cutoff.</w:t>
            </w:r>
          </w:p>
        </w:tc>
      </w:tr>
      <w:tr w:rsidR="00295A87" w:rsidTr="00B542D3">
        <w:tc>
          <w:tcPr>
            <w:tcW w:w="7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jc w:val="center"/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Statistical methods: (a) Describe all statistical methods; (b) Describe any methods used to examine subgroups and interactions; (c) Explain how missing data were addressed; (d) Describe any sensitivity analyses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jc w:val="center"/>
              <w:rPr>
                <w:sz w:val="20"/>
                <w:szCs w:val="20"/>
              </w:rPr>
            </w:pPr>
            <w:r w:rsidRPr="00195F6D">
              <w:rPr>
                <w:rFonts w:ascii="Times New Roman" w:eastAsia="Times New Roman" w:hAnsi="Times New Roman" w:cs="Times New Roman"/>
                <w:sz w:val="20"/>
                <w:szCs w:val="20"/>
              </w:rPr>
              <w:t>9–11</w:t>
            </w:r>
          </w:p>
        </w:tc>
        <w:tc>
          <w:tcPr>
            <w:tcW w:w="4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proofErr w:type="gramEnd"/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) Chi-square/Fisher’s exact for univariate; multivariable logistic regression; ROC analysis; bootstrap validation (1,000 iterations); Hosmer–</w:t>
            </w:r>
            <w:proofErr w:type="spellStart"/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Lemeshow</w:t>
            </w:r>
            <w:proofErr w:type="spellEnd"/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calibration. Logistic regression justified over alternatives. SPSS V30 specified. (b) Specialty-specific AUC subgroup analyses (Table 8). H&amp;N-adjusted model (Table 5). (c) 224 patients excluded for missing data; demographic comparison performed. (d) Three pre-specified sensitivity analyses: non-H&amp;N subgroup, C-L III/IV–only definition, specialty-specific AUCs.</w:t>
            </w:r>
          </w:p>
        </w:tc>
      </w:tr>
      <w:tr w:rsidR="00295A87" w:rsidTr="00B542D3">
        <w:tc>
          <w:tcPr>
            <w:tcW w:w="7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8EEF4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Results</w:t>
            </w:r>
          </w:p>
        </w:tc>
        <w:tc>
          <w:tcPr>
            <w:tcW w:w="3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8EEF4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8EEF4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8EEF4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</w:p>
        </w:tc>
      </w:tr>
      <w:tr w:rsidR="00295A87" w:rsidTr="00B542D3">
        <w:tc>
          <w:tcPr>
            <w:tcW w:w="7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jc w:val="center"/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Participants: (a) Report numbers of individuals at each stage of study; (b) Give reasons for non-participation at each stage; (c) Consider use of a flow diagram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533BFB" w:rsidRDefault="00295A87" w:rsidP="00B542D3">
            <w:pPr>
              <w:jc w:val="center"/>
              <w:rPr>
                <w:sz w:val="20"/>
                <w:szCs w:val="20"/>
              </w:rPr>
            </w:pPr>
            <w:r w:rsidRPr="00533BFB">
              <w:rPr>
                <w:rFonts w:ascii="Times New Roman" w:eastAsia="Times New Roman" w:hAnsi="Times New Roman" w:cs="Times New Roman"/>
                <w:sz w:val="20"/>
                <w:szCs w:val="20"/>
              </w:rPr>
              <w:t>11–13, Fig. 1</w:t>
            </w:r>
          </w:p>
        </w:tc>
        <w:tc>
          <w:tcPr>
            <w:tcW w:w="4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(a–b) Numbers at each stage with exclusion reasons: 12,221 → 6,760 → 5,646 → 3,080. (c) Figure 1 (study flowchart) provided.</w:t>
            </w:r>
          </w:p>
        </w:tc>
      </w:tr>
      <w:tr w:rsidR="00295A87" w:rsidTr="00B542D3">
        <w:tc>
          <w:tcPr>
            <w:tcW w:w="7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jc w:val="center"/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Descriptive data: (a) Give characteristics of study participants; (b) Indicate number of participants with missing data for each variable of interest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533BFB" w:rsidRDefault="00295A87" w:rsidP="00B542D3">
            <w:pPr>
              <w:jc w:val="center"/>
              <w:rPr>
                <w:sz w:val="20"/>
                <w:szCs w:val="20"/>
              </w:rPr>
            </w:pPr>
            <w:r w:rsidRPr="00533BFB">
              <w:rPr>
                <w:rFonts w:ascii="Times New Roman" w:eastAsia="Times New Roman" w:hAnsi="Times New Roman" w:cs="Times New Roman"/>
                <w:sz w:val="20"/>
                <w:szCs w:val="20"/>
              </w:rPr>
              <w:t>11–12, Table 1</w:t>
            </w:r>
          </w:p>
        </w:tc>
        <w:tc>
          <w:tcPr>
            <w:tcW w:w="4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(a) New Table 1: age, sex, BMI, ASA class, specialty, all 7 predictors, stratified by DDL status with p-values. (b) 224 excluded for missing data (7.3%); all included patients have complete predictor data.</w:t>
            </w:r>
          </w:p>
        </w:tc>
      </w:tr>
      <w:tr w:rsidR="00295A87" w:rsidTr="00B542D3">
        <w:tc>
          <w:tcPr>
            <w:tcW w:w="7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jc w:val="center"/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Outcome data: Report numbers of outcome events or summary measures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DDL: 278/3,080 (9.03%; 95% CI: 8.01–10.04%). Breakdown: 253 by C-L III/IV, 25 by ≥3 attempts only. Specialty-specific prevalence in Table 2.</w:t>
            </w:r>
          </w:p>
        </w:tc>
      </w:tr>
      <w:tr w:rsidR="00295A87" w:rsidTr="00B542D3">
        <w:tc>
          <w:tcPr>
            <w:tcW w:w="7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jc w:val="center"/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Main results: (a) Give unadjusted estimates and, if applicable, confounder-adjusted estimates and their precision; (b) Report category boundaries when continuous </w:t>
            </w: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variables were categorized; (c) If relevant, consider translating estimates into meaningful clinical terms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jc w:val="center"/>
              <w:rPr>
                <w:sz w:val="20"/>
                <w:szCs w:val="20"/>
              </w:rPr>
            </w:pPr>
            <w:r w:rsidRPr="005952F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14–18</w:t>
            </w:r>
          </w:p>
        </w:tc>
        <w:tc>
          <w:tcPr>
            <w:tcW w:w="4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(a) Univariate ORs (Table 3) and adjusted ORs (Table 4) with 95% CIs and p-values. H&amp;N-adjusted model (Table 5). (b) All cutoffs specified (e.g., BMI ≥27.5, TMD ≤6.5 cm). (</w:t>
            </w:r>
            <w:proofErr w:type="gramStart"/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proofErr w:type="gramEnd"/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Composite score dose–response (2.2% → 24.7% DDL across </w:t>
            </w: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score 0–3); PPV/NPV with clinical interpretation (Table 7).</w:t>
            </w:r>
          </w:p>
        </w:tc>
      </w:tr>
      <w:tr w:rsidR="00295A87" w:rsidTr="00B542D3">
        <w:tc>
          <w:tcPr>
            <w:tcW w:w="7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jc w:val="center"/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3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Other analyses: Report other analyses done—e.g., analyses of subgroups and interactions, and sensitivity analyses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533BFB" w:rsidRDefault="00295A87" w:rsidP="00B542D3">
            <w:pPr>
              <w:jc w:val="center"/>
              <w:rPr>
                <w:sz w:val="20"/>
                <w:szCs w:val="20"/>
              </w:rPr>
            </w:pPr>
            <w:r w:rsidRPr="00533BFB">
              <w:rPr>
                <w:rFonts w:ascii="Times New Roman" w:eastAsia="Times New Roman" w:hAnsi="Times New Roman" w:cs="Times New Roman"/>
                <w:sz w:val="20"/>
                <w:szCs w:val="20"/>
              </w:rPr>
              <w:t>19–20</w:t>
            </w:r>
          </w:p>
        </w:tc>
        <w:tc>
          <w:tcPr>
            <w:tcW w:w="4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Three sensitivity analyses (Table 8): (1) non-H&amp;N subgroup (n=1,488; AUC 0.75); (2) C-L III/IV–only definition (AUC 0.72); (3) specialty-specific AUCs (range 0.68–0.82). Bootstrap internal validation (AUC 0.72, optimism &lt;0.01).</w:t>
            </w:r>
          </w:p>
        </w:tc>
      </w:tr>
      <w:tr w:rsidR="00295A87" w:rsidTr="00B542D3">
        <w:tc>
          <w:tcPr>
            <w:tcW w:w="7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8EEF4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Discussion</w:t>
            </w:r>
          </w:p>
        </w:tc>
        <w:tc>
          <w:tcPr>
            <w:tcW w:w="3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8EEF4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8EEF4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8EEF4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</w:p>
        </w:tc>
      </w:tr>
      <w:tr w:rsidR="00295A87" w:rsidTr="00B542D3">
        <w:tc>
          <w:tcPr>
            <w:tcW w:w="7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jc w:val="center"/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Key results: </w:t>
            </w:r>
            <w:proofErr w:type="spellStart"/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Summarise</w:t>
            </w:r>
            <w:proofErr w:type="spellEnd"/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key results with reference to study objectives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Opening paragraph summarizes prevalence (9.03%), six independent predictors, composite score AUC (0.72), and H&amp;N adjustment findings.</w:t>
            </w:r>
          </w:p>
        </w:tc>
      </w:tr>
      <w:tr w:rsidR="00295A87" w:rsidTr="00B542D3">
        <w:tc>
          <w:tcPr>
            <w:tcW w:w="7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jc w:val="center"/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Limitations: Discuss limitations of the study, taking into account sources of potential bias or imprecision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533BFB" w:rsidRDefault="00295A87" w:rsidP="00B542D3">
            <w:pPr>
              <w:jc w:val="center"/>
              <w:rPr>
                <w:sz w:val="20"/>
                <w:szCs w:val="20"/>
              </w:rPr>
            </w:pPr>
            <w:r w:rsidRPr="00533BFB">
              <w:rPr>
                <w:rFonts w:ascii="Times New Roman" w:eastAsia="Times New Roman" w:hAnsi="Times New Roman" w:cs="Times New Roman"/>
                <w:sz w:val="20"/>
                <w:szCs w:val="20"/>
              </w:rPr>
              <w:t>28–29</w:t>
            </w:r>
          </w:p>
        </w:tc>
        <w:tc>
          <w:tcPr>
            <w:tcW w:w="4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Eight limitations discussed: retrospective design, inter-rater variability (including clinical estimation for neck mobility), single-center specialty-heavy case-mix, missing data, lack of external validation, residual confounding (specific diagnosis, tumor size, radiation, </w:t>
            </w:r>
            <w:proofErr w:type="gramStart"/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operator</w:t>
            </w:r>
            <w:proofErr w:type="gramEnd"/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experience), equal weighting, and no downstream outcome assessment.</w:t>
            </w:r>
          </w:p>
        </w:tc>
      </w:tr>
      <w:tr w:rsidR="00295A87" w:rsidTr="00B542D3">
        <w:tc>
          <w:tcPr>
            <w:tcW w:w="7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jc w:val="center"/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Interpretation: 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533BFB" w:rsidRDefault="00295A87" w:rsidP="00B542D3">
            <w:pPr>
              <w:jc w:val="center"/>
              <w:rPr>
                <w:sz w:val="20"/>
                <w:szCs w:val="20"/>
              </w:rPr>
            </w:pPr>
            <w:r w:rsidRPr="00533BFB">
              <w:rPr>
                <w:rFonts w:ascii="Times New Roman" w:eastAsia="Times New Roman" w:hAnsi="Times New Roman" w:cs="Times New Roman"/>
                <w:sz w:val="20"/>
                <w:szCs w:val="20"/>
              </w:rPr>
              <w:t>21–29</w:t>
            </w:r>
          </w:p>
        </w:tc>
        <w:tc>
          <w:tcPr>
            <w:tcW w:w="4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Prevalence contextualized against global data. Predictors compared with meta-analyses and international cohorts. Composite score compared with SARI, LEMON, Wilson, </w:t>
            </w:r>
            <w:proofErr w:type="gramStart"/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El</w:t>
            </w:r>
            <w:proofErr w:type="gramEnd"/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Ganzouri</w:t>
            </w:r>
            <w:proofErr w:type="spellEnd"/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. Cambodia-specific differentiating factors discussed. False-negative rate (17.3%) explicitly quantified with cautionary note. Score positioned as screening aid, not diagnostic tool.</w:t>
            </w:r>
          </w:p>
        </w:tc>
      </w:tr>
      <w:tr w:rsidR="00295A87" w:rsidTr="00B542D3">
        <w:tc>
          <w:tcPr>
            <w:tcW w:w="7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jc w:val="center"/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  <w:proofErr w:type="spellStart"/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Generalisability</w:t>
            </w:r>
            <w:proofErr w:type="spellEnd"/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Discuss the </w:t>
            </w:r>
            <w:proofErr w:type="spellStart"/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generalisability</w:t>
            </w:r>
            <w:proofErr w:type="spellEnd"/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(external validity) of the study results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533BFB" w:rsidRDefault="00295A87" w:rsidP="00B542D3">
            <w:pPr>
              <w:jc w:val="center"/>
              <w:rPr>
                <w:sz w:val="20"/>
                <w:szCs w:val="20"/>
              </w:rPr>
            </w:pPr>
            <w:r w:rsidRPr="00533BFB">
              <w:rPr>
                <w:rFonts w:ascii="Times New Roman" w:eastAsia="Times New Roman" w:hAnsi="Times New Roman" w:cs="Times New Roman"/>
                <w:sz w:val="20"/>
                <w:szCs w:val="20"/>
              </w:rPr>
              <w:t>21–29</w:t>
            </w:r>
          </w:p>
        </w:tc>
        <w:tc>
          <w:tcPr>
            <w:tcW w:w="4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Generalizability limited by single-center, specialty-heavy case-mix (51.7% H&amp;N). Non-H&amp;N sensitivity analysis (AUC 0.75) provides partial reassurance. H&amp;N-adjusted model confirms predictor independence from surgical context. Population-specific factors (Asian BMI threshold, craniofacial morphology) discussed. Multicenter validation recommended.</w:t>
            </w:r>
          </w:p>
        </w:tc>
      </w:tr>
      <w:tr w:rsidR="00295A87" w:rsidTr="00B542D3">
        <w:tc>
          <w:tcPr>
            <w:tcW w:w="7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8EEF4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Other Information</w:t>
            </w:r>
          </w:p>
        </w:tc>
        <w:tc>
          <w:tcPr>
            <w:tcW w:w="3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8EEF4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8EEF4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8EEF4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</w:p>
        </w:tc>
      </w:tr>
      <w:tr w:rsidR="00295A87" w:rsidTr="00B542D3">
        <w:tc>
          <w:tcPr>
            <w:tcW w:w="7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jc w:val="center"/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Funding: Give the source of funding and the role of the funders for the present study and, if applicable, for the original study on which the present article is based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95A87" w:rsidRPr="0093288C" w:rsidRDefault="00295A87" w:rsidP="00B542D3">
            <w:pPr>
              <w:rPr>
                <w:sz w:val="20"/>
                <w:szCs w:val="20"/>
              </w:rPr>
            </w:pPr>
            <w:r w:rsidRPr="0093288C">
              <w:rPr>
                <w:rFonts w:ascii="Times New Roman" w:eastAsia="Times New Roman" w:hAnsi="Times New Roman" w:cs="Times New Roman"/>
                <w:sz w:val="20"/>
                <w:szCs w:val="20"/>
              </w:rPr>
              <w:t>No specific funding received. Declarations section.</w:t>
            </w:r>
          </w:p>
        </w:tc>
      </w:tr>
    </w:tbl>
    <w:p w:rsidR="0062148C" w:rsidRPr="00295A87" w:rsidRDefault="0062148C" w:rsidP="00295A87">
      <w:bookmarkStart w:id="0" w:name="_GoBack"/>
      <w:bookmarkEnd w:id="0"/>
    </w:p>
    <w:sectPr w:rsidR="0062148C" w:rsidRPr="00295A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A87"/>
    <w:rsid w:val="00295A87"/>
    <w:rsid w:val="00621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747F0C-D960-4E45-8CAB-18419FBE0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A87"/>
    <w:pPr>
      <w:spacing w:after="0" w:line="276" w:lineRule="auto"/>
    </w:pPr>
    <w:rPr>
      <w:rFonts w:ascii="Arial" w:eastAsia="Arial" w:hAnsi="Arial" w:cs="Arial"/>
      <w:lang w:val="en" w:bidi="hi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5A87"/>
    <w:pPr>
      <w:keepNext/>
      <w:keepLines/>
      <w:spacing w:before="360" w:after="120"/>
      <w:outlineLvl w:val="1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95A87"/>
    <w:rPr>
      <w:rFonts w:ascii="Arial" w:eastAsia="Arial" w:hAnsi="Arial" w:cs="Arial"/>
      <w:sz w:val="32"/>
      <w:szCs w:val="32"/>
      <w:lang w:val="e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1207</Words>
  <Characters>6882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Larena Catubay</dc:creator>
  <cp:keywords/>
  <dc:description/>
  <cp:lastModifiedBy>Melanie Larena Catubay</cp:lastModifiedBy>
  <cp:revision>1</cp:revision>
  <dcterms:created xsi:type="dcterms:W3CDTF">2026-04-15T04:30:00Z</dcterms:created>
  <dcterms:modified xsi:type="dcterms:W3CDTF">2026-04-15T04:30:00Z</dcterms:modified>
</cp:coreProperties>
</file>