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8DC6B">
      <w:pPr>
        <w:rPr>
          <w:rStyle w:val="4"/>
          <w:rFonts w:hint="default" w:ascii="Times New Roman" w:hAnsi="Times New Roman" w:eastAsia="Segoe UI" w:cs="Times New Roman"/>
          <w:b/>
          <w:bCs/>
          <w:i w:val="0"/>
          <w:iCs w:val="0"/>
          <w:caps w:val="0"/>
          <w:color w:val="0F1115"/>
          <w:spacing w:val="0"/>
          <w:sz w:val="24"/>
          <w:szCs w:val="24"/>
          <w:shd w:val="clear" w:fill="FFFFFF"/>
        </w:rPr>
      </w:pPr>
      <w:r>
        <w:rPr>
          <w:rStyle w:val="4"/>
          <w:rFonts w:hint="default" w:ascii="Times New Roman" w:hAnsi="Times New Roman" w:eastAsia="Segoe UI" w:cs="Times New Roman"/>
          <w:b/>
          <w:bCs/>
          <w:i w:val="0"/>
          <w:iCs w:val="0"/>
          <w:caps w:val="0"/>
          <w:color w:val="0F1115"/>
          <w:spacing w:val="0"/>
          <w:sz w:val="24"/>
          <w:szCs w:val="24"/>
          <w:shd w:val="clear" w:fill="FFFFFF"/>
        </w:rPr>
        <w:t>Supplementary Table S2. Sensitivity Analysis: Association Between Dexmedetomidine Dose and Delayed Awakening in MRI-Only Subgroup (Firth Penalized Logistic Regression, n=1,743)</w:t>
      </w:r>
    </w:p>
    <w:tbl>
      <w:tblPr>
        <w:tblStyle w:val="2"/>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191"/>
        <w:gridCol w:w="1352"/>
        <w:gridCol w:w="2537"/>
        <w:gridCol w:w="1418"/>
      </w:tblGrid>
      <w:tr w14:paraId="760FFF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3191" w:type="dxa"/>
            <w:tcBorders>
              <w:bottom w:val="single" w:color="auto" w:sz="8" w:space="0"/>
            </w:tcBorders>
            <w:shd w:val="clear" w:color="auto" w:fill="FFFFFF"/>
            <w:tcMar>
              <w:top w:w="120" w:type="dxa"/>
              <w:left w:w="0" w:type="dxa"/>
              <w:bottom w:w="120" w:type="dxa"/>
              <w:right w:w="192" w:type="dxa"/>
            </w:tcMar>
            <w:vAlign w:val="center"/>
          </w:tcPr>
          <w:p w14:paraId="12D98FF0">
            <w:pPr>
              <w:keepNext w:val="0"/>
              <w:keepLines w:val="0"/>
              <w:widowControl/>
              <w:suppressLineNumbers w:val="0"/>
              <w:spacing w:line="300" w:lineRule="atLeast"/>
              <w:jc w:val="left"/>
              <w:rPr>
                <w:rFonts w:hint="default" w:ascii="Times New Roman" w:hAnsi="Times New Roman" w:eastAsia="Segoe UI" w:cs="Times New Roman"/>
                <w:b/>
                <w:bCs/>
                <w:i w:val="0"/>
                <w:iCs w:val="0"/>
                <w:caps w:val="0"/>
                <w:color w:val="0F1115"/>
                <w:spacing w:val="0"/>
                <w:sz w:val="20"/>
                <w:szCs w:val="20"/>
              </w:rPr>
            </w:pPr>
            <w:r>
              <w:rPr>
                <w:rFonts w:hint="default" w:ascii="Times New Roman" w:hAnsi="Times New Roman" w:eastAsia="Segoe UI" w:cs="Times New Roman"/>
                <w:b/>
                <w:bCs/>
                <w:i w:val="0"/>
                <w:iCs w:val="0"/>
                <w:caps w:val="0"/>
                <w:color w:val="0F1115"/>
                <w:spacing w:val="0"/>
                <w:kern w:val="0"/>
                <w:sz w:val="20"/>
                <w:szCs w:val="20"/>
                <w:lang w:val="en-US" w:eastAsia="zh-CN" w:bidi="ar"/>
              </w:rPr>
              <w:t>Covariate</w:t>
            </w:r>
          </w:p>
        </w:tc>
        <w:tc>
          <w:tcPr>
            <w:tcW w:w="1352" w:type="dxa"/>
            <w:tcBorders>
              <w:bottom w:val="single" w:color="auto" w:sz="8" w:space="0"/>
            </w:tcBorders>
            <w:shd w:val="clear" w:color="auto" w:fill="FFFFFF"/>
            <w:tcMar>
              <w:top w:w="120" w:type="dxa"/>
              <w:left w:w="192" w:type="dxa"/>
              <w:bottom w:w="120" w:type="dxa"/>
              <w:right w:w="192" w:type="dxa"/>
            </w:tcMar>
            <w:vAlign w:val="center"/>
          </w:tcPr>
          <w:p w14:paraId="6F17E696">
            <w:pPr>
              <w:keepNext w:val="0"/>
              <w:keepLines w:val="0"/>
              <w:widowControl/>
              <w:suppressLineNumbers w:val="0"/>
              <w:spacing w:line="300" w:lineRule="atLeast"/>
              <w:jc w:val="left"/>
              <w:rPr>
                <w:rFonts w:hint="default" w:ascii="Times New Roman" w:hAnsi="Times New Roman" w:eastAsia="Segoe UI" w:cs="Times New Roman"/>
                <w:b/>
                <w:bCs/>
                <w:i w:val="0"/>
                <w:iCs w:val="0"/>
                <w:caps w:val="0"/>
                <w:color w:val="0F1115"/>
                <w:spacing w:val="0"/>
                <w:sz w:val="20"/>
                <w:szCs w:val="20"/>
              </w:rPr>
            </w:pPr>
            <w:r>
              <w:rPr>
                <w:rFonts w:hint="default" w:ascii="Times New Roman" w:hAnsi="Times New Roman" w:eastAsia="Segoe UI" w:cs="Times New Roman"/>
                <w:b/>
                <w:bCs/>
                <w:i w:val="0"/>
                <w:iCs w:val="0"/>
                <w:caps w:val="0"/>
                <w:color w:val="0F1115"/>
                <w:spacing w:val="0"/>
                <w:kern w:val="0"/>
                <w:sz w:val="20"/>
                <w:szCs w:val="20"/>
                <w:lang w:val="en-US" w:eastAsia="zh-CN" w:bidi="ar"/>
              </w:rPr>
              <w:t>aOR</w:t>
            </w:r>
          </w:p>
        </w:tc>
        <w:tc>
          <w:tcPr>
            <w:tcW w:w="2537" w:type="dxa"/>
            <w:tcBorders>
              <w:bottom w:val="single" w:color="auto" w:sz="8" w:space="0"/>
            </w:tcBorders>
            <w:shd w:val="clear" w:color="auto" w:fill="FFFFFF"/>
            <w:tcMar>
              <w:top w:w="120" w:type="dxa"/>
              <w:left w:w="192" w:type="dxa"/>
              <w:bottom w:w="120" w:type="dxa"/>
              <w:right w:w="192" w:type="dxa"/>
            </w:tcMar>
            <w:vAlign w:val="center"/>
          </w:tcPr>
          <w:p w14:paraId="41A47E10">
            <w:pPr>
              <w:keepNext w:val="0"/>
              <w:keepLines w:val="0"/>
              <w:widowControl/>
              <w:suppressLineNumbers w:val="0"/>
              <w:spacing w:line="300" w:lineRule="atLeast"/>
              <w:jc w:val="left"/>
              <w:rPr>
                <w:rFonts w:hint="default" w:ascii="Times New Roman" w:hAnsi="Times New Roman" w:eastAsia="Segoe UI" w:cs="Times New Roman"/>
                <w:b/>
                <w:bCs/>
                <w:i w:val="0"/>
                <w:iCs w:val="0"/>
                <w:caps w:val="0"/>
                <w:color w:val="0F1115"/>
                <w:spacing w:val="0"/>
                <w:sz w:val="20"/>
                <w:szCs w:val="20"/>
              </w:rPr>
            </w:pPr>
            <w:r>
              <w:rPr>
                <w:rFonts w:hint="default" w:ascii="Times New Roman" w:hAnsi="Times New Roman" w:eastAsia="Segoe UI" w:cs="Times New Roman"/>
                <w:b/>
                <w:bCs/>
                <w:i w:val="0"/>
                <w:iCs w:val="0"/>
                <w:caps w:val="0"/>
                <w:color w:val="0F1115"/>
                <w:spacing w:val="0"/>
                <w:kern w:val="0"/>
                <w:sz w:val="20"/>
                <w:szCs w:val="20"/>
                <w:lang w:val="en-US" w:eastAsia="zh-CN" w:bidi="ar"/>
              </w:rPr>
              <w:t>95% CI</w:t>
            </w:r>
          </w:p>
        </w:tc>
        <w:tc>
          <w:tcPr>
            <w:tcW w:w="1418" w:type="dxa"/>
            <w:tcBorders>
              <w:bottom w:val="single" w:color="auto" w:sz="8" w:space="0"/>
            </w:tcBorders>
            <w:shd w:val="clear" w:color="auto" w:fill="FFFFFF"/>
            <w:tcMar>
              <w:top w:w="120" w:type="dxa"/>
              <w:left w:w="192" w:type="dxa"/>
              <w:bottom w:w="120" w:type="dxa"/>
              <w:right w:w="192" w:type="dxa"/>
            </w:tcMar>
            <w:vAlign w:val="center"/>
          </w:tcPr>
          <w:p w14:paraId="523153DE">
            <w:pPr>
              <w:keepNext w:val="0"/>
              <w:keepLines w:val="0"/>
              <w:widowControl/>
              <w:suppressLineNumbers w:val="0"/>
              <w:spacing w:line="300" w:lineRule="atLeast"/>
              <w:jc w:val="left"/>
              <w:rPr>
                <w:rFonts w:hint="default" w:ascii="Times New Roman" w:hAnsi="Times New Roman" w:eastAsia="Segoe UI" w:cs="Times New Roman"/>
                <w:b/>
                <w:bCs/>
                <w:i w:val="0"/>
                <w:iCs w:val="0"/>
                <w:caps w:val="0"/>
                <w:color w:val="0F1115"/>
                <w:spacing w:val="0"/>
                <w:sz w:val="20"/>
                <w:szCs w:val="20"/>
              </w:rPr>
            </w:pPr>
            <w:r>
              <w:rPr>
                <w:rFonts w:hint="default" w:ascii="Times New Roman" w:hAnsi="Times New Roman" w:eastAsia="Segoe UI" w:cs="Times New Roman"/>
                <w:b/>
                <w:bCs/>
                <w:i w:val="0"/>
                <w:iCs w:val="0"/>
                <w:caps w:val="0"/>
                <w:color w:val="0F1115"/>
                <w:spacing w:val="0"/>
                <w:kern w:val="0"/>
                <w:sz w:val="20"/>
                <w:szCs w:val="20"/>
                <w:lang w:val="en-US" w:eastAsia="zh-CN" w:bidi="ar"/>
              </w:rPr>
              <w:t>P value</w:t>
            </w:r>
          </w:p>
        </w:tc>
      </w:tr>
      <w:tr w14:paraId="46999A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op w:val="single" w:color="auto" w:sz="8" w:space="0"/>
              <w:tl2br w:val="nil"/>
              <w:tr2bl w:val="nil"/>
            </w:tcBorders>
            <w:shd w:val="clear" w:color="auto" w:fill="FFFFFF"/>
            <w:tcMar>
              <w:top w:w="120" w:type="dxa"/>
              <w:left w:w="0" w:type="dxa"/>
              <w:bottom w:w="120" w:type="dxa"/>
              <w:right w:w="192" w:type="dxa"/>
            </w:tcMar>
            <w:vAlign w:val="center"/>
          </w:tcPr>
          <w:p w14:paraId="5DCF55D7">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Dexmedetomidine dose (per 1 μg/kg)</w:t>
            </w:r>
          </w:p>
        </w:tc>
        <w:tc>
          <w:tcPr>
            <w:tcW w:w="1352" w:type="dxa"/>
            <w:tcBorders>
              <w:top w:val="single" w:color="auto" w:sz="8" w:space="0"/>
              <w:tl2br w:val="nil"/>
              <w:tr2bl w:val="nil"/>
            </w:tcBorders>
            <w:shd w:val="clear" w:color="auto" w:fill="FFFFFF"/>
            <w:tcMar>
              <w:top w:w="120" w:type="dxa"/>
              <w:left w:w="192" w:type="dxa"/>
              <w:bottom w:w="120" w:type="dxa"/>
              <w:right w:w="192" w:type="dxa"/>
            </w:tcMar>
            <w:vAlign w:val="center"/>
          </w:tcPr>
          <w:p w14:paraId="5384CFCB">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3.958</w:t>
            </w:r>
          </w:p>
        </w:tc>
        <w:tc>
          <w:tcPr>
            <w:tcW w:w="2537" w:type="dxa"/>
            <w:tcBorders>
              <w:top w:val="single" w:color="auto" w:sz="8" w:space="0"/>
              <w:tl2br w:val="nil"/>
              <w:tr2bl w:val="nil"/>
            </w:tcBorders>
            <w:shd w:val="clear" w:color="auto" w:fill="FFFFFF"/>
            <w:tcMar>
              <w:top w:w="120" w:type="dxa"/>
              <w:left w:w="192" w:type="dxa"/>
              <w:bottom w:w="120" w:type="dxa"/>
              <w:right w:w="192" w:type="dxa"/>
            </w:tcMar>
            <w:vAlign w:val="center"/>
          </w:tcPr>
          <w:p w14:paraId="09E9FE69">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(2.185–7.443)</w:t>
            </w:r>
          </w:p>
        </w:tc>
        <w:tc>
          <w:tcPr>
            <w:tcW w:w="1418" w:type="dxa"/>
            <w:tcBorders>
              <w:top w:val="single" w:color="auto" w:sz="8" w:space="0"/>
              <w:tl2br w:val="nil"/>
              <w:tr2bl w:val="nil"/>
            </w:tcBorders>
            <w:shd w:val="clear" w:color="auto" w:fill="FFFFFF"/>
            <w:tcMar>
              <w:top w:w="120" w:type="dxa"/>
              <w:left w:w="192" w:type="dxa"/>
              <w:bottom w:w="120" w:type="dxa"/>
              <w:right w:w="0" w:type="dxa"/>
            </w:tcMar>
            <w:vAlign w:val="center"/>
          </w:tcPr>
          <w:p w14:paraId="5E0C104D">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&lt;0.001</w:t>
            </w:r>
          </w:p>
        </w:tc>
      </w:tr>
      <w:tr w14:paraId="3465EE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0DCF3DE1">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Age group (ref: ≤1 year)</w:t>
            </w:r>
          </w:p>
        </w:tc>
        <w:tc>
          <w:tcPr>
            <w:tcW w:w="1352" w:type="dxa"/>
            <w:tcBorders>
              <w:tl2br w:val="nil"/>
              <w:tr2bl w:val="nil"/>
            </w:tcBorders>
            <w:shd w:val="clear" w:color="auto" w:fill="FFFFFF"/>
            <w:tcMar>
              <w:top w:w="120" w:type="dxa"/>
              <w:left w:w="192" w:type="dxa"/>
              <w:bottom w:w="120" w:type="dxa"/>
              <w:right w:w="192" w:type="dxa"/>
            </w:tcMar>
            <w:vAlign w:val="center"/>
          </w:tcPr>
          <w:p w14:paraId="6B026CB5">
            <w:pPr>
              <w:rPr>
                <w:rFonts w:hint="default" w:ascii="Times New Roman" w:hAnsi="Times New Roman" w:eastAsia="Segoe UI" w:cs="Times New Roman"/>
                <w:i w:val="0"/>
                <w:iCs w:val="0"/>
                <w:caps w:val="0"/>
                <w:color w:val="0F1115"/>
                <w:spacing w:val="0"/>
                <w:sz w:val="20"/>
                <w:szCs w:val="20"/>
              </w:rPr>
            </w:pPr>
          </w:p>
        </w:tc>
        <w:tc>
          <w:tcPr>
            <w:tcW w:w="2537" w:type="dxa"/>
            <w:tcBorders>
              <w:tl2br w:val="nil"/>
              <w:tr2bl w:val="nil"/>
            </w:tcBorders>
            <w:shd w:val="clear" w:color="auto" w:fill="FFFFFF"/>
            <w:tcMar>
              <w:top w:w="120" w:type="dxa"/>
              <w:left w:w="192" w:type="dxa"/>
              <w:bottom w:w="120" w:type="dxa"/>
              <w:right w:w="192" w:type="dxa"/>
            </w:tcMar>
            <w:vAlign w:val="center"/>
          </w:tcPr>
          <w:p w14:paraId="3162A27D">
            <w:pPr>
              <w:rPr>
                <w:rFonts w:hint="default" w:ascii="Times New Roman" w:hAnsi="Times New Roman" w:eastAsia="Segoe UI" w:cs="Times New Roman"/>
                <w:i w:val="0"/>
                <w:iCs w:val="0"/>
                <w:caps w:val="0"/>
                <w:color w:val="0F1115"/>
                <w:spacing w:val="0"/>
                <w:sz w:val="20"/>
                <w:szCs w:val="20"/>
              </w:rPr>
            </w:pPr>
          </w:p>
        </w:tc>
        <w:tc>
          <w:tcPr>
            <w:tcW w:w="1418" w:type="dxa"/>
            <w:tcBorders>
              <w:tl2br w:val="nil"/>
              <w:tr2bl w:val="nil"/>
            </w:tcBorders>
            <w:shd w:val="clear" w:color="auto" w:fill="FFFFFF"/>
            <w:tcMar>
              <w:top w:w="120" w:type="dxa"/>
              <w:left w:w="192" w:type="dxa"/>
              <w:bottom w:w="120" w:type="dxa"/>
              <w:right w:w="0" w:type="dxa"/>
            </w:tcMar>
            <w:vAlign w:val="center"/>
          </w:tcPr>
          <w:p w14:paraId="66F4E245">
            <w:pPr>
              <w:rPr>
                <w:rFonts w:hint="default" w:ascii="Times New Roman" w:hAnsi="Times New Roman" w:eastAsia="Segoe UI" w:cs="Times New Roman"/>
                <w:i w:val="0"/>
                <w:iCs w:val="0"/>
                <w:caps w:val="0"/>
                <w:color w:val="0F1115"/>
                <w:spacing w:val="0"/>
                <w:sz w:val="20"/>
                <w:szCs w:val="20"/>
              </w:rPr>
            </w:pPr>
          </w:p>
        </w:tc>
      </w:tr>
      <w:tr w14:paraId="3797BE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538F5E58">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kern w:val="0"/>
                <w:sz w:val="20"/>
                <w:szCs w:val="20"/>
                <w:lang w:val="en-US" w:eastAsia="zh-CN" w:bidi="ar"/>
              </w:rPr>
              <w:t>&lt;</w:t>
            </w:r>
            <w:r>
              <w:rPr>
                <w:rFonts w:hint="default" w:ascii="Times New Roman" w:hAnsi="Times New Roman" w:eastAsia="Segoe UI" w:cs="Times New Roman"/>
                <w:i w:val="0"/>
                <w:iCs w:val="0"/>
                <w:caps w:val="0"/>
                <w:color w:val="0F1115"/>
                <w:spacing w:val="0"/>
                <w:kern w:val="0"/>
                <w:sz w:val="20"/>
                <w:szCs w:val="20"/>
                <w:lang w:val="en-US" w:eastAsia="zh-CN" w:bidi="ar"/>
              </w:rPr>
              <w:t>1–3 years (Age2)</w:t>
            </w:r>
          </w:p>
        </w:tc>
        <w:tc>
          <w:tcPr>
            <w:tcW w:w="1352" w:type="dxa"/>
            <w:tcBorders>
              <w:tl2br w:val="nil"/>
              <w:tr2bl w:val="nil"/>
            </w:tcBorders>
            <w:shd w:val="clear" w:color="auto" w:fill="FFFFFF"/>
            <w:tcMar>
              <w:top w:w="120" w:type="dxa"/>
              <w:left w:w="192" w:type="dxa"/>
              <w:bottom w:w="120" w:type="dxa"/>
              <w:right w:w="192" w:type="dxa"/>
            </w:tcMar>
            <w:vAlign w:val="center"/>
          </w:tcPr>
          <w:p w14:paraId="7929C81E">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0.181</w:t>
            </w:r>
          </w:p>
        </w:tc>
        <w:tc>
          <w:tcPr>
            <w:tcW w:w="2537" w:type="dxa"/>
            <w:tcBorders>
              <w:tl2br w:val="nil"/>
              <w:tr2bl w:val="nil"/>
            </w:tcBorders>
            <w:shd w:val="clear" w:color="auto" w:fill="FFFFFF"/>
            <w:tcMar>
              <w:top w:w="120" w:type="dxa"/>
              <w:left w:w="192" w:type="dxa"/>
              <w:bottom w:w="120" w:type="dxa"/>
              <w:right w:w="192" w:type="dxa"/>
            </w:tcMar>
            <w:vAlign w:val="center"/>
          </w:tcPr>
          <w:p w14:paraId="7DEB461C">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(0.083–0.386)</w:t>
            </w:r>
          </w:p>
        </w:tc>
        <w:tc>
          <w:tcPr>
            <w:tcW w:w="1418" w:type="dxa"/>
            <w:tcBorders>
              <w:tl2br w:val="nil"/>
              <w:tr2bl w:val="nil"/>
            </w:tcBorders>
            <w:shd w:val="clear" w:color="auto" w:fill="FFFFFF"/>
            <w:tcMar>
              <w:top w:w="120" w:type="dxa"/>
              <w:left w:w="192" w:type="dxa"/>
              <w:bottom w:w="120" w:type="dxa"/>
              <w:right w:w="0" w:type="dxa"/>
            </w:tcMar>
            <w:vAlign w:val="center"/>
          </w:tcPr>
          <w:p w14:paraId="5D637513">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&lt;0.001</w:t>
            </w:r>
          </w:p>
        </w:tc>
      </w:tr>
      <w:tr w14:paraId="6515F1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33071509">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kern w:val="0"/>
                <w:sz w:val="20"/>
                <w:szCs w:val="20"/>
                <w:lang w:val="en-US" w:eastAsia="zh-CN" w:bidi="ar"/>
              </w:rPr>
              <w:t>&lt;</w:t>
            </w:r>
            <w:r>
              <w:rPr>
                <w:rFonts w:hint="default" w:ascii="Times New Roman" w:hAnsi="Times New Roman" w:eastAsia="Segoe UI" w:cs="Times New Roman"/>
                <w:i w:val="0"/>
                <w:iCs w:val="0"/>
                <w:caps w:val="0"/>
                <w:color w:val="0F1115"/>
                <w:spacing w:val="0"/>
                <w:kern w:val="0"/>
                <w:sz w:val="20"/>
                <w:szCs w:val="20"/>
                <w:lang w:val="en-US" w:eastAsia="zh-CN" w:bidi="ar"/>
              </w:rPr>
              <w:t>3–12 years (Age3)</w:t>
            </w:r>
          </w:p>
        </w:tc>
        <w:tc>
          <w:tcPr>
            <w:tcW w:w="1352" w:type="dxa"/>
            <w:tcBorders>
              <w:tl2br w:val="nil"/>
              <w:tr2bl w:val="nil"/>
            </w:tcBorders>
            <w:shd w:val="clear" w:color="auto" w:fill="FFFFFF"/>
            <w:tcMar>
              <w:top w:w="120" w:type="dxa"/>
              <w:left w:w="192" w:type="dxa"/>
              <w:bottom w:w="120" w:type="dxa"/>
              <w:right w:w="192" w:type="dxa"/>
            </w:tcMar>
            <w:vAlign w:val="center"/>
          </w:tcPr>
          <w:p w14:paraId="08009819">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0.025</w:t>
            </w:r>
          </w:p>
        </w:tc>
        <w:tc>
          <w:tcPr>
            <w:tcW w:w="2537" w:type="dxa"/>
            <w:tcBorders>
              <w:tl2br w:val="nil"/>
              <w:tr2bl w:val="nil"/>
            </w:tcBorders>
            <w:shd w:val="clear" w:color="auto" w:fill="FFFFFF"/>
            <w:tcMar>
              <w:top w:w="120" w:type="dxa"/>
              <w:left w:w="192" w:type="dxa"/>
              <w:bottom w:w="120" w:type="dxa"/>
              <w:right w:w="192" w:type="dxa"/>
            </w:tcMar>
            <w:vAlign w:val="center"/>
          </w:tcPr>
          <w:p w14:paraId="13333D57">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(0.005–0.106)</w:t>
            </w:r>
          </w:p>
        </w:tc>
        <w:tc>
          <w:tcPr>
            <w:tcW w:w="1418" w:type="dxa"/>
            <w:tcBorders>
              <w:tl2br w:val="nil"/>
              <w:tr2bl w:val="nil"/>
            </w:tcBorders>
            <w:shd w:val="clear" w:color="auto" w:fill="FFFFFF"/>
            <w:tcMar>
              <w:top w:w="120" w:type="dxa"/>
              <w:left w:w="192" w:type="dxa"/>
              <w:bottom w:w="120" w:type="dxa"/>
              <w:right w:w="0" w:type="dxa"/>
            </w:tcMar>
            <w:vAlign w:val="center"/>
          </w:tcPr>
          <w:p w14:paraId="0E46B3FA">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&lt;0.001</w:t>
            </w:r>
          </w:p>
        </w:tc>
      </w:tr>
      <w:tr w14:paraId="0A5E99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255C26F2">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Sex (ref: male)</w:t>
            </w:r>
          </w:p>
        </w:tc>
        <w:tc>
          <w:tcPr>
            <w:tcW w:w="1352" w:type="dxa"/>
            <w:tcBorders>
              <w:tl2br w:val="nil"/>
              <w:tr2bl w:val="nil"/>
            </w:tcBorders>
            <w:shd w:val="clear" w:color="auto" w:fill="FFFFFF"/>
            <w:tcMar>
              <w:top w:w="120" w:type="dxa"/>
              <w:left w:w="192" w:type="dxa"/>
              <w:bottom w:w="120" w:type="dxa"/>
              <w:right w:w="192" w:type="dxa"/>
            </w:tcMar>
            <w:vAlign w:val="center"/>
          </w:tcPr>
          <w:p w14:paraId="69E117AD">
            <w:pPr>
              <w:rPr>
                <w:rFonts w:hint="default" w:ascii="Times New Roman" w:hAnsi="Times New Roman" w:eastAsia="Segoe UI" w:cs="Times New Roman"/>
                <w:i w:val="0"/>
                <w:iCs w:val="0"/>
                <w:caps w:val="0"/>
                <w:color w:val="0F1115"/>
                <w:spacing w:val="0"/>
                <w:sz w:val="20"/>
                <w:szCs w:val="20"/>
              </w:rPr>
            </w:pPr>
          </w:p>
        </w:tc>
        <w:tc>
          <w:tcPr>
            <w:tcW w:w="2537" w:type="dxa"/>
            <w:tcBorders>
              <w:tl2br w:val="nil"/>
              <w:tr2bl w:val="nil"/>
            </w:tcBorders>
            <w:shd w:val="clear" w:color="auto" w:fill="FFFFFF"/>
            <w:tcMar>
              <w:top w:w="120" w:type="dxa"/>
              <w:left w:w="192" w:type="dxa"/>
              <w:bottom w:w="120" w:type="dxa"/>
              <w:right w:w="192" w:type="dxa"/>
            </w:tcMar>
            <w:vAlign w:val="center"/>
          </w:tcPr>
          <w:p w14:paraId="70348FE7">
            <w:pPr>
              <w:rPr>
                <w:rFonts w:hint="default" w:ascii="Times New Roman" w:hAnsi="Times New Roman" w:eastAsia="Segoe UI" w:cs="Times New Roman"/>
                <w:i w:val="0"/>
                <w:iCs w:val="0"/>
                <w:caps w:val="0"/>
                <w:color w:val="0F1115"/>
                <w:spacing w:val="0"/>
                <w:sz w:val="20"/>
                <w:szCs w:val="20"/>
              </w:rPr>
            </w:pPr>
          </w:p>
        </w:tc>
        <w:tc>
          <w:tcPr>
            <w:tcW w:w="1418" w:type="dxa"/>
            <w:tcBorders>
              <w:tl2br w:val="nil"/>
              <w:tr2bl w:val="nil"/>
            </w:tcBorders>
            <w:shd w:val="clear" w:color="auto" w:fill="FFFFFF"/>
            <w:tcMar>
              <w:top w:w="120" w:type="dxa"/>
              <w:left w:w="192" w:type="dxa"/>
              <w:bottom w:w="120" w:type="dxa"/>
              <w:right w:w="0" w:type="dxa"/>
            </w:tcMar>
            <w:vAlign w:val="center"/>
          </w:tcPr>
          <w:p w14:paraId="399AF352">
            <w:pPr>
              <w:rPr>
                <w:rFonts w:hint="default" w:ascii="Times New Roman" w:hAnsi="Times New Roman" w:eastAsia="Segoe UI" w:cs="Times New Roman"/>
                <w:i w:val="0"/>
                <w:iCs w:val="0"/>
                <w:caps w:val="0"/>
                <w:color w:val="0F1115"/>
                <w:spacing w:val="0"/>
                <w:sz w:val="20"/>
                <w:szCs w:val="20"/>
              </w:rPr>
            </w:pPr>
          </w:p>
        </w:tc>
      </w:tr>
      <w:tr w14:paraId="11380F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011B1BD2">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Female (Gender2)</w:t>
            </w:r>
          </w:p>
        </w:tc>
        <w:tc>
          <w:tcPr>
            <w:tcW w:w="1352" w:type="dxa"/>
            <w:tcBorders>
              <w:tl2br w:val="nil"/>
              <w:tr2bl w:val="nil"/>
            </w:tcBorders>
            <w:shd w:val="clear" w:color="auto" w:fill="FFFFFF"/>
            <w:tcMar>
              <w:top w:w="120" w:type="dxa"/>
              <w:left w:w="192" w:type="dxa"/>
              <w:bottom w:w="120" w:type="dxa"/>
              <w:right w:w="192" w:type="dxa"/>
            </w:tcMar>
            <w:vAlign w:val="center"/>
          </w:tcPr>
          <w:p w14:paraId="41A439FF">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0.647</w:t>
            </w:r>
          </w:p>
        </w:tc>
        <w:tc>
          <w:tcPr>
            <w:tcW w:w="2537" w:type="dxa"/>
            <w:tcBorders>
              <w:tl2br w:val="nil"/>
              <w:tr2bl w:val="nil"/>
            </w:tcBorders>
            <w:shd w:val="clear" w:color="auto" w:fill="FFFFFF"/>
            <w:tcMar>
              <w:top w:w="120" w:type="dxa"/>
              <w:left w:w="192" w:type="dxa"/>
              <w:bottom w:w="120" w:type="dxa"/>
              <w:right w:w="192" w:type="dxa"/>
            </w:tcMar>
            <w:vAlign w:val="center"/>
          </w:tcPr>
          <w:p w14:paraId="4F956AD9">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(0.321–1.216)</w:t>
            </w:r>
          </w:p>
        </w:tc>
        <w:tc>
          <w:tcPr>
            <w:tcW w:w="1418" w:type="dxa"/>
            <w:tcBorders>
              <w:tl2br w:val="nil"/>
              <w:tr2bl w:val="nil"/>
            </w:tcBorders>
            <w:shd w:val="clear" w:color="auto" w:fill="FFFFFF"/>
            <w:tcMar>
              <w:top w:w="120" w:type="dxa"/>
              <w:left w:w="192" w:type="dxa"/>
              <w:bottom w:w="120" w:type="dxa"/>
              <w:right w:w="0" w:type="dxa"/>
            </w:tcMar>
            <w:vAlign w:val="center"/>
          </w:tcPr>
          <w:p w14:paraId="26FC1EFC">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0.181</w:t>
            </w:r>
          </w:p>
        </w:tc>
      </w:tr>
      <w:tr w14:paraId="6F4B10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06F1F91A">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Weight (per 1 kg)</w:t>
            </w:r>
          </w:p>
        </w:tc>
        <w:tc>
          <w:tcPr>
            <w:tcW w:w="1352" w:type="dxa"/>
            <w:tcBorders>
              <w:tl2br w:val="nil"/>
              <w:tr2bl w:val="nil"/>
            </w:tcBorders>
            <w:shd w:val="clear" w:color="auto" w:fill="FFFFFF"/>
            <w:tcMar>
              <w:top w:w="120" w:type="dxa"/>
              <w:left w:w="192" w:type="dxa"/>
              <w:bottom w:w="120" w:type="dxa"/>
              <w:right w:w="192" w:type="dxa"/>
            </w:tcMar>
            <w:vAlign w:val="center"/>
          </w:tcPr>
          <w:p w14:paraId="25B749D9">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1.131</w:t>
            </w:r>
          </w:p>
        </w:tc>
        <w:tc>
          <w:tcPr>
            <w:tcW w:w="2537" w:type="dxa"/>
            <w:tcBorders>
              <w:tl2br w:val="nil"/>
              <w:tr2bl w:val="nil"/>
            </w:tcBorders>
            <w:shd w:val="clear" w:color="auto" w:fill="FFFFFF"/>
            <w:tcMar>
              <w:top w:w="120" w:type="dxa"/>
              <w:left w:w="192" w:type="dxa"/>
              <w:bottom w:w="120" w:type="dxa"/>
              <w:right w:w="192" w:type="dxa"/>
            </w:tcMar>
            <w:vAlign w:val="center"/>
          </w:tcPr>
          <w:p w14:paraId="0BCFA892">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(1.031–1.228)</w:t>
            </w:r>
          </w:p>
        </w:tc>
        <w:tc>
          <w:tcPr>
            <w:tcW w:w="1418" w:type="dxa"/>
            <w:tcBorders>
              <w:tl2br w:val="nil"/>
              <w:tr2bl w:val="nil"/>
            </w:tcBorders>
            <w:shd w:val="clear" w:color="auto" w:fill="FFFFFF"/>
            <w:tcMar>
              <w:top w:w="120" w:type="dxa"/>
              <w:left w:w="192" w:type="dxa"/>
              <w:bottom w:w="120" w:type="dxa"/>
              <w:right w:w="0" w:type="dxa"/>
            </w:tcMar>
            <w:vAlign w:val="center"/>
          </w:tcPr>
          <w:p w14:paraId="19836EDC">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0.011</w:t>
            </w:r>
          </w:p>
        </w:tc>
      </w:tr>
      <w:tr w14:paraId="0B9F4C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3CA3743F">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Fasting duration (per 1 h)</w:t>
            </w:r>
          </w:p>
        </w:tc>
        <w:tc>
          <w:tcPr>
            <w:tcW w:w="1352" w:type="dxa"/>
            <w:tcBorders>
              <w:tl2br w:val="nil"/>
              <w:tr2bl w:val="nil"/>
            </w:tcBorders>
            <w:shd w:val="clear" w:color="auto" w:fill="FFFFFF"/>
            <w:tcMar>
              <w:top w:w="120" w:type="dxa"/>
              <w:left w:w="192" w:type="dxa"/>
              <w:bottom w:w="120" w:type="dxa"/>
              <w:right w:w="192" w:type="dxa"/>
            </w:tcMar>
            <w:vAlign w:val="center"/>
          </w:tcPr>
          <w:p w14:paraId="673FF0ED">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1.035</w:t>
            </w:r>
          </w:p>
        </w:tc>
        <w:tc>
          <w:tcPr>
            <w:tcW w:w="2537" w:type="dxa"/>
            <w:tcBorders>
              <w:tl2br w:val="nil"/>
              <w:tr2bl w:val="nil"/>
            </w:tcBorders>
            <w:shd w:val="clear" w:color="auto" w:fill="FFFFFF"/>
            <w:tcMar>
              <w:top w:w="120" w:type="dxa"/>
              <w:left w:w="192" w:type="dxa"/>
              <w:bottom w:w="120" w:type="dxa"/>
              <w:right w:w="192" w:type="dxa"/>
            </w:tcMar>
            <w:vAlign w:val="center"/>
          </w:tcPr>
          <w:p w14:paraId="690AF6F1">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(0.725–1.368)</w:t>
            </w:r>
          </w:p>
        </w:tc>
        <w:tc>
          <w:tcPr>
            <w:tcW w:w="1418" w:type="dxa"/>
            <w:tcBorders>
              <w:tl2br w:val="nil"/>
              <w:tr2bl w:val="nil"/>
            </w:tcBorders>
            <w:shd w:val="clear" w:color="auto" w:fill="FFFFFF"/>
            <w:tcMar>
              <w:top w:w="120" w:type="dxa"/>
              <w:left w:w="192" w:type="dxa"/>
              <w:bottom w:w="120" w:type="dxa"/>
              <w:right w:w="0" w:type="dxa"/>
            </w:tcMar>
            <w:vAlign w:val="center"/>
          </w:tcPr>
          <w:p w14:paraId="0F83F02C">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0.838</w:t>
            </w:r>
          </w:p>
        </w:tc>
      </w:tr>
      <w:tr w14:paraId="36A071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191" w:type="dxa"/>
            <w:tcBorders>
              <w:tl2br w:val="nil"/>
              <w:tr2bl w:val="nil"/>
            </w:tcBorders>
            <w:shd w:val="clear" w:color="auto" w:fill="FFFFFF"/>
            <w:tcMar>
              <w:top w:w="120" w:type="dxa"/>
              <w:left w:w="0" w:type="dxa"/>
              <w:bottom w:w="120" w:type="dxa"/>
              <w:right w:w="192" w:type="dxa"/>
            </w:tcMar>
            <w:vAlign w:val="center"/>
          </w:tcPr>
          <w:p w14:paraId="6E1D27FF">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 xml:space="preserve">Midazolam dose (per </w:t>
            </w:r>
            <w:r>
              <w:rPr>
                <w:rFonts w:hint="eastAsia" w:ascii="Times New Roman" w:hAnsi="Times New Roman" w:eastAsia="Segoe UI" w:cs="Times New Roman"/>
                <w:i w:val="0"/>
                <w:iCs w:val="0"/>
                <w:caps w:val="0"/>
                <w:color w:val="0F1115"/>
                <w:spacing w:val="0"/>
                <w:kern w:val="0"/>
                <w:sz w:val="20"/>
                <w:szCs w:val="20"/>
                <w:lang w:val="en-US" w:eastAsia="zh-CN" w:bidi="ar"/>
              </w:rPr>
              <w:t>0.</w:t>
            </w:r>
            <w:r>
              <w:rPr>
                <w:rFonts w:hint="default" w:ascii="Times New Roman" w:hAnsi="Times New Roman" w:eastAsia="Segoe UI" w:cs="Times New Roman"/>
                <w:i w:val="0"/>
                <w:iCs w:val="0"/>
                <w:caps w:val="0"/>
                <w:color w:val="0F1115"/>
                <w:spacing w:val="0"/>
                <w:kern w:val="0"/>
                <w:sz w:val="20"/>
                <w:szCs w:val="20"/>
                <w:lang w:val="en-US" w:eastAsia="zh-CN" w:bidi="ar"/>
              </w:rPr>
              <w:t>1 mg/kg)</w:t>
            </w:r>
          </w:p>
        </w:tc>
        <w:tc>
          <w:tcPr>
            <w:tcW w:w="1352" w:type="dxa"/>
            <w:tcBorders>
              <w:tl2br w:val="nil"/>
              <w:tr2bl w:val="nil"/>
            </w:tcBorders>
            <w:shd w:val="clear" w:color="auto" w:fill="FFFFFF"/>
            <w:tcMar>
              <w:top w:w="120" w:type="dxa"/>
              <w:left w:w="192" w:type="dxa"/>
              <w:bottom w:w="120" w:type="dxa"/>
              <w:right w:w="192" w:type="dxa"/>
            </w:tcMar>
            <w:vAlign w:val="center"/>
          </w:tcPr>
          <w:p w14:paraId="65099465">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eastAsia" w:ascii="Times New Roman" w:hAnsi="Times New Roman" w:eastAsia="Segoe UI" w:cs="Times New Roman"/>
                <w:i w:val="0"/>
                <w:iCs w:val="0"/>
                <w:caps w:val="0"/>
                <w:color w:val="0F1115"/>
                <w:spacing w:val="0"/>
                <w:kern w:val="0"/>
                <w:sz w:val="20"/>
                <w:szCs w:val="20"/>
                <w:lang w:val="en-US" w:eastAsia="zh-CN" w:bidi="ar"/>
              </w:rPr>
              <w:t>1</w:t>
            </w:r>
            <w:r>
              <w:rPr>
                <w:rFonts w:hint="default" w:ascii="Times New Roman" w:hAnsi="Times New Roman" w:eastAsia="Segoe UI" w:cs="Times New Roman"/>
                <w:i w:val="0"/>
                <w:iCs w:val="0"/>
                <w:caps w:val="0"/>
                <w:color w:val="0F1115"/>
                <w:spacing w:val="0"/>
                <w:kern w:val="0"/>
                <w:sz w:val="20"/>
                <w:szCs w:val="20"/>
                <w:lang w:val="en-US" w:eastAsia="zh-CN" w:bidi="ar"/>
              </w:rPr>
              <w:t>.</w:t>
            </w:r>
            <w:r>
              <w:rPr>
                <w:rFonts w:hint="eastAsia" w:ascii="Times New Roman" w:hAnsi="Times New Roman" w:eastAsia="Segoe UI" w:cs="Times New Roman"/>
                <w:i w:val="0"/>
                <w:iCs w:val="0"/>
                <w:caps w:val="0"/>
                <w:color w:val="0F1115"/>
                <w:spacing w:val="0"/>
                <w:kern w:val="0"/>
                <w:sz w:val="20"/>
                <w:szCs w:val="20"/>
                <w:lang w:val="en-US" w:eastAsia="zh-CN" w:bidi="ar"/>
              </w:rPr>
              <w:t>253</w:t>
            </w:r>
          </w:p>
        </w:tc>
        <w:tc>
          <w:tcPr>
            <w:tcW w:w="2537" w:type="dxa"/>
            <w:tcBorders>
              <w:tl2br w:val="nil"/>
              <w:tr2bl w:val="nil"/>
            </w:tcBorders>
            <w:shd w:val="clear" w:color="auto" w:fill="FFFFFF"/>
            <w:tcMar>
              <w:top w:w="120" w:type="dxa"/>
              <w:left w:w="192" w:type="dxa"/>
              <w:bottom w:w="120" w:type="dxa"/>
              <w:right w:w="192" w:type="dxa"/>
            </w:tcMar>
            <w:vAlign w:val="center"/>
          </w:tcPr>
          <w:p w14:paraId="4A3E1EBD">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(1.</w:t>
            </w:r>
            <w:r>
              <w:rPr>
                <w:rFonts w:hint="eastAsia" w:ascii="Times New Roman" w:hAnsi="Times New Roman" w:eastAsia="Segoe UI" w:cs="Times New Roman"/>
                <w:i w:val="0"/>
                <w:iCs w:val="0"/>
                <w:caps w:val="0"/>
                <w:color w:val="0F1115"/>
                <w:spacing w:val="0"/>
                <w:kern w:val="0"/>
                <w:sz w:val="20"/>
                <w:szCs w:val="20"/>
                <w:lang w:val="en-US" w:eastAsia="zh-CN" w:bidi="ar"/>
              </w:rPr>
              <w:t>019</w:t>
            </w:r>
            <w:r>
              <w:rPr>
                <w:rFonts w:hint="default" w:ascii="Times New Roman" w:hAnsi="Times New Roman" w:eastAsia="Segoe UI" w:cs="Times New Roman"/>
                <w:i w:val="0"/>
                <w:iCs w:val="0"/>
                <w:caps w:val="0"/>
                <w:color w:val="0F1115"/>
                <w:spacing w:val="0"/>
                <w:kern w:val="0"/>
                <w:sz w:val="20"/>
                <w:szCs w:val="20"/>
                <w:lang w:val="en-US" w:eastAsia="zh-CN" w:bidi="ar"/>
              </w:rPr>
              <w:t>–</w:t>
            </w:r>
            <w:r>
              <w:rPr>
                <w:rFonts w:hint="eastAsia" w:ascii="Times New Roman" w:hAnsi="Times New Roman" w:eastAsia="Segoe UI" w:cs="Times New Roman"/>
                <w:i w:val="0"/>
                <w:iCs w:val="0"/>
                <w:caps w:val="0"/>
                <w:color w:val="0F1115"/>
                <w:spacing w:val="0"/>
                <w:kern w:val="0"/>
                <w:sz w:val="20"/>
                <w:szCs w:val="20"/>
                <w:lang w:val="en-US" w:eastAsia="zh-CN" w:bidi="ar"/>
              </w:rPr>
              <w:t>1.526</w:t>
            </w:r>
            <w:r>
              <w:rPr>
                <w:rFonts w:hint="default" w:ascii="Times New Roman" w:hAnsi="Times New Roman" w:eastAsia="Segoe UI" w:cs="Times New Roman"/>
                <w:i w:val="0"/>
                <w:iCs w:val="0"/>
                <w:caps w:val="0"/>
                <w:color w:val="0F1115"/>
                <w:spacing w:val="0"/>
                <w:kern w:val="0"/>
                <w:sz w:val="20"/>
                <w:szCs w:val="20"/>
                <w:lang w:val="en-US" w:eastAsia="zh-CN" w:bidi="ar"/>
              </w:rPr>
              <w:t>)</w:t>
            </w:r>
          </w:p>
        </w:tc>
        <w:tc>
          <w:tcPr>
            <w:tcW w:w="1418" w:type="dxa"/>
            <w:tcBorders>
              <w:tl2br w:val="nil"/>
              <w:tr2bl w:val="nil"/>
            </w:tcBorders>
            <w:shd w:val="clear" w:color="auto" w:fill="FFFFFF"/>
            <w:tcMar>
              <w:top w:w="120" w:type="dxa"/>
              <w:left w:w="192" w:type="dxa"/>
              <w:bottom w:w="120" w:type="dxa"/>
              <w:right w:w="0" w:type="dxa"/>
            </w:tcMar>
            <w:vAlign w:val="center"/>
          </w:tcPr>
          <w:p w14:paraId="2A6A7FE8">
            <w:pPr>
              <w:keepNext w:val="0"/>
              <w:keepLines w:val="0"/>
              <w:widowControl/>
              <w:suppressLineNumbers w:val="0"/>
              <w:spacing w:line="300" w:lineRule="atLeast"/>
              <w:jc w:val="left"/>
              <w:rPr>
                <w:rFonts w:hint="default" w:ascii="Times New Roman" w:hAnsi="Times New Roman" w:eastAsia="Segoe UI" w:cs="Times New Roman"/>
                <w:i w:val="0"/>
                <w:iCs w:val="0"/>
                <w:caps w:val="0"/>
                <w:color w:val="0F1115"/>
                <w:spacing w:val="0"/>
                <w:sz w:val="20"/>
                <w:szCs w:val="20"/>
              </w:rPr>
            </w:pPr>
            <w:r>
              <w:rPr>
                <w:rFonts w:hint="default" w:ascii="Times New Roman" w:hAnsi="Times New Roman" w:eastAsia="Segoe UI" w:cs="Times New Roman"/>
                <w:i w:val="0"/>
                <w:iCs w:val="0"/>
                <w:caps w:val="0"/>
                <w:color w:val="0F1115"/>
                <w:spacing w:val="0"/>
                <w:kern w:val="0"/>
                <w:sz w:val="20"/>
                <w:szCs w:val="20"/>
                <w:lang w:val="en-US" w:eastAsia="zh-CN" w:bidi="ar"/>
              </w:rPr>
              <w:t>0.033</w:t>
            </w:r>
          </w:p>
        </w:tc>
      </w:tr>
      <w:tr w14:paraId="4D749C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8498" w:type="dxa"/>
            <w:gridSpan w:val="4"/>
            <w:tcBorders>
              <w:tl2br w:val="nil"/>
              <w:tr2bl w:val="nil"/>
            </w:tcBorders>
            <w:shd w:val="clear" w:color="auto" w:fill="FFFFFF"/>
            <w:tcMar>
              <w:top w:w="120" w:type="dxa"/>
              <w:left w:w="0" w:type="dxa"/>
              <w:bottom w:w="120" w:type="dxa"/>
              <w:right w:w="192" w:type="dxa"/>
            </w:tcMar>
            <w:vAlign w:val="center"/>
          </w:tcPr>
          <w:p w14:paraId="1F2F5792">
            <w:pPr>
              <w:rPr>
                <w:rFonts w:hint="default" w:ascii="Times New Roman" w:hAnsi="Times New Roman" w:eastAsia="Segoe UI" w:cs="Times New Roman"/>
                <w:i w:val="0"/>
                <w:iCs w:val="0"/>
                <w:caps w:val="0"/>
                <w:color w:val="0F1115"/>
                <w:spacing w:val="0"/>
                <w:sz w:val="20"/>
                <w:szCs w:val="20"/>
              </w:rPr>
            </w:pPr>
            <w:r>
              <w:rPr>
                <w:rStyle w:val="4"/>
                <w:rFonts w:hint="default" w:ascii="Times New Roman" w:hAnsi="Times New Roman" w:eastAsia="Segoe UI" w:cs="Times New Roman"/>
                <w:b/>
                <w:bCs/>
                <w:i w:val="0"/>
                <w:iCs w:val="0"/>
                <w:caps w:val="0"/>
                <w:color w:val="0F1115"/>
                <w:spacing w:val="0"/>
                <w:kern w:val="0"/>
                <w:sz w:val="20"/>
                <w:szCs w:val="20"/>
                <w:lang w:val="en-US" w:eastAsia="zh-CN" w:bidi="ar"/>
              </w:rPr>
              <w:t>Note:</w:t>
            </w:r>
            <w:r>
              <w:rPr>
                <w:rFonts w:hint="default" w:ascii="Times New Roman" w:hAnsi="Times New Roman" w:eastAsia="Segoe UI" w:cs="Times New Roman"/>
                <w:i w:val="0"/>
                <w:iCs w:val="0"/>
                <w:caps w:val="0"/>
                <w:color w:val="0F1115"/>
                <w:spacing w:val="0"/>
                <w:kern w:val="0"/>
                <w:sz w:val="20"/>
                <w:szCs w:val="20"/>
                <w:lang w:val="en-US" w:eastAsia="zh-CN" w:bidi="ar"/>
              </w:rPr>
              <w:t> This sensitivity analysis was restricted to patients undergoing MRI (n=1,743; events=52) to minimize confounding by procedure type. The model was fitted using Firth penalized logistic regression due to the low event count. Adjusted for age group, sex, weight, fasting duration, and midazolam dose. Reference categories: age ≤1 year; male. CI, confidence interval; aOR, adjusted odds ratio.</w:t>
            </w:r>
          </w:p>
        </w:tc>
      </w:tr>
    </w:tbl>
    <w:p w14:paraId="6418C4BB">
      <w:pPr>
        <w:keepNext w:val="0"/>
        <w:keepLines w:val="0"/>
        <w:widowControl/>
        <w:suppressLineNumbers w:val="0"/>
        <w:jc w:val="left"/>
      </w:pPr>
      <w:bookmarkStart w:id="0" w:name="_GoBack"/>
      <w:bookmarkEnd w:id="0"/>
    </w:p>
    <w:p w14:paraId="52F9D950">
      <w:pPr>
        <w:rPr>
          <w:rStyle w:val="4"/>
          <w:rFonts w:hint="default" w:ascii="Times New Roman" w:hAnsi="Times New Roman" w:eastAsia="Segoe UI" w:cs="Times New Roman"/>
          <w:b/>
          <w:bCs/>
          <w:i w:val="0"/>
          <w:iCs w:val="0"/>
          <w:caps w:val="0"/>
          <w:color w:val="0F1115"/>
          <w:spacing w:val="0"/>
          <w:sz w:val="24"/>
          <w:szCs w:val="24"/>
          <w:shd w:val="clear" w:fill="FFFFFF"/>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D344AC"/>
    <w:rsid w:val="6C5F69E1"/>
    <w:rsid w:val="791F0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139</Words>
  <Characters>852</Characters>
  <Lines>0</Lines>
  <Paragraphs>0</Paragraphs>
  <TotalTime>0</TotalTime>
  <ScaleCrop>false</ScaleCrop>
  <LinksUpToDate>false</LinksUpToDate>
  <CharactersWithSpaces>955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2026-02-22T04:26:00Z</dcterms:created>
  <dc:creator>86159</dc:creator>
  <cp:lastModifiedBy>经刻苦</cp:lastModifiedBy>
  <dcterms:modified xsi:type="dcterms:W3CDTF">2026-02-22T13:53:10Z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eyJoZGlkIjoiMGRlODRhYWRjNDllZGQ1Zjg0NGVhNmU0ODU1OTQxZWEiLCJ1c2VySWQiOiI2MDgxOTIyNTQifQ==</vt:lpwstr>
  </property>
  <property fmtid="{D5CDD505-2E9C-101B-9397-08002B2CF9AE}" pid="4" name="ICV">
    <vt:lpwstr>8D725D3D60444FC2BBB5DD9EBE4E621E_12</vt:lpwstr>
  </property>
</Properties>
</file>