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1AD03C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hint="default" w:ascii="Times New Roman" w:hAnsi="Times New Roman" w:cs="Times New Roman"/>
          <w:b/>
          <w:bCs/>
          <w:color w:val="0000FF"/>
          <w:sz w:val="24"/>
          <w:szCs w:val="24"/>
          <w:highlight w:val="none"/>
        </w:rPr>
      </w:pPr>
      <w:r>
        <w:rPr>
          <w:rFonts w:hint="default" w:ascii="Times New Roman" w:hAnsi="Times New Roman" w:cs="Times New Roman"/>
          <w:b/>
          <w:bCs/>
          <w:color w:val="0000FF"/>
          <w:sz w:val="24"/>
          <w:szCs w:val="24"/>
          <w:highlight w:val="none"/>
        </w:rPr>
        <w:t>Supplementary Table S2. Full coefficients of the extended multivariable model</w:t>
      </w:r>
    </w:p>
    <w:tbl>
      <w:tblPr>
        <w:tblStyle w:val="2"/>
        <w:tblW w:w="9024" w:type="dxa"/>
        <w:tblInd w:w="0" w:type="dxa"/>
        <w:tblBorders>
          <w:top w:val="single" w:color="auto" w:sz="12" w:space="0"/>
          <w:left w:val="none" w:color="auto" w:sz="0" w:space="0"/>
          <w:bottom w:val="single" w:color="auto" w:sz="12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4889"/>
        <w:gridCol w:w="2658"/>
        <w:gridCol w:w="1477"/>
      </w:tblGrid>
      <w:tr w14:paraId="360114EF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Header/>
        </w:trPr>
        <w:tc>
          <w:tcPr>
            <w:tcW w:w="0" w:type="auto"/>
            <w:tcBorders>
              <w:bottom w:val="single" w:color="auto" w:sz="8" w:space="0"/>
            </w:tcBorders>
            <w:shd w:val="clear" w:color="auto" w:fill="auto"/>
            <w:tcMar>
              <w:top w:w="120" w:type="dxa"/>
              <w:left w:w="0" w:type="dxa"/>
              <w:bottom w:w="120" w:type="dxa"/>
              <w:right w:w="192" w:type="dxa"/>
            </w:tcMar>
            <w:vAlign w:val="center"/>
          </w:tcPr>
          <w:p w14:paraId="40AB1A8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textAlignment w:val="auto"/>
              <w:rPr>
                <w:rFonts w:hint="default" w:ascii="Times New Roman" w:hAnsi="Times New Roman" w:cs="Times New Roman"/>
                <w:b/>
                <w:bCs/>
                <w:color w:val="0000FF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0000FF"/>
                <w:sz w:val="20"/>
                <w:szCs w:val="20"/>
                <w:highlight w:val="none"/>
                <w:lang w:val="en-US" w:eastAsia="zh-CN"/>
              </w:rPr>
              <w:t>Variable</w:t>
            </w:r>
          </w:p>
        </w:tc>
        <w:tc>
          <w:tcPr>
            <w:tcW w:w="0" w:type="auto"/>
            <w:tcBorders>
              <w:bottom w:val="single" w:color="auto" w:sz="8" w:space="0"/>
            </w:tcBorders>
            <w:shd w:val="clear" w:color="auto" w:fill="auto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0B977C3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textAlignment w:val="auto"/>
              <w:rPr>
                <w:rFonts w:hint="default" w:ascii="Times New Roman" w:hAnsi="Times New Roman" w:cs="Times New Roman"/>
                <w:b/>
                <w:bCs/>
                <w:color w:val="0000FF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0000FF"/>
                <w:sz w:val="20"/>
                <w:szCs w:val="20"/>
                <w:highlight w:val="none"/>
                <w:lang w:val="en-US" w:eastAsia="zh-CN"/>
              </w:rPr>
              <w:t>OR (95% CI)</w:t>
            </w:r>
          </w:p>
        </w:tc>
        <w:tc>
          <w:tcPr>
            <w:tcW w:w="0" w:type="auto"/>
            <w:tcBorders>
              <w:bottom w:val="single" w:color="auto" w:sz="8" w:space="0"/>
            </w:tcBorders>
            <w:shd w:val="clear" w:color="auto" w:fill="auto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267AE5B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textAlignment w:val="auto"/>
              <w:rPr>
                <w:rFonts w:hint="default" w:ascii="Times New Roman" w:hAnsi="Times New Roman" w:cs="Times New Roman"/>
                <w:b/>
                <w:bCs/>
                <w:color w:val="0000FF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0000FF"/>
                <w:sz w:val="20"/>
                <w:szCs w:val="20"/>
                <w:highlight w:val="none"/>
                <w:lang w:val="en-US" w:eastAsia="zh-CN"/>
              </w:rPr>
              <w:t>P value</w:t>
            </w:r>
          </w:p>
        </w:tc>
      </w:tr>
      <w:tr w14:paraId="5A2C789A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single" w:color="auto" w:sz="8" w:space="0"/>
              <w:tl2br w:val="nil"/>
              <w:tr2bl w:val="nil"/>
            </w:tcBorders>
            <w:shd w:val="clear" w:color="auto" w:fill="auto"/>
            <w:tcMar>
              <w:top w:w="120" w:type="dxa"/>
              <w:left w:w="0" w:type="dxa"/>
              <w:bottom w:w="120" w:type="dxa"/>
              <w:right w:w="192" w:type="dxa"/>
            </w:tcMar>
            <w:vAlign w:val="center"/>
          </w:tcPr>
          <w:p w14:paraId="4AE8208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textAlignment w:val="auto"/>
              <w:rPr>
                <w:rFonts w:hint="default" w:ascii="Times New Roman" w:hAnsi="Times New Roman" w:cs="Times New Roman"/>
                <w:color w:val="0000FF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FF"/>
                <w:sz w:val="20"/>
                <w:szCs w:val="20"/>
                <w:highlight w:val="none"/>
                <w:lang w:val="en-US" w:eastAsia="zh-CN"/>
              </w:rPr>
              <w:t>Age, per 1-year increase</w:t>
            </w:r>
          </w:p>
        </w:tc>
        <w:tc>
          <w:tcPr>
            <w:tcW w:w="0" w:type="auto"/>
            <w:tcBorders>
              <w:top w:val="single" w:color="auto" w:sz="8" w:space="0"/>
              <w:tl2br w:val="nil"/>
              <w:tr2bl w:val="nil"/>
            </w:tcBorders>
            <w:shd w:val="clear" w:color="auto" w:fill="auto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2C8F1CF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textAlignment w:val="auto"/>
              <w:rPr>
                <w:rFonts w:hint="default" w:ascii="Times New Roman" w:hAnsi="Times New Roman" w:cs="Times New Roman"/>
                <w:color w:val="0000FF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FF"/>
                <w:sz w:val="20"/>
                <w:szCs w:val="20"/>
                <w:highlight w:val="none"/>
                <w:lang w:val="en-US" w:eastAsia="zh-CN"/>
              </w:rPr>
              <w:t>1.134 (1.074, 1.204)</w:t>
            </w:r>
          </w:p>
        </w:tc>
        <w:tc>
          <w:tcPr>
            <w:tcW w:w="0" w:type="auto"/>
            <w:tcBorders>
              <w:top w:val="single" w:color="auto" w:sz="8" w:space="0"/>
              <w:tl2br w:val="nil"/>
              <w:tr2bl w:val="nil"/>
            </w:tcBorders>
            <w:shd w:val="clear" w:color="auto" w:fill="auto"/>
            <w:tcMar>
              <w:top w:w="120" w:type="dxa"/>
              <w:left w:w="192" w:type="dxa"/>
              <w:bottom w:w="120" w:type="dxa"/>
              <w:right w:w="0" w:type="dxa"/>
            </w:tcMar>
            <w:vAlign w:val="center"/>
          </w:tcPr>
          <w:p w14:paraId="0AD616B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textAlignment w:val="auto"/>
              <w:rPr>
                <w:rFonts w:hint="default" w:ascii="Times New Roman" w:hAnsi="Times New Roman" w:cs="Times New Roman"/>
                <w:color w:val="0000FF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FF"/>
                <w:sz w:val="20"/>
                <w:szCs w:val="20"/>
                <w:highlight w:val="none"/>
                <w:lang w:val="en-US" w:eastAsia="zh-CN"/>
              </w:rPr>
              <w:t>&lt;0.001</w:t>
            </w:r>
          </w:p>
        </w:tc>
      </w:tr>
      <w:tr w14:paraId="740AB15B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tcMar>
              <w:top w:w="120" w:type="dxa"/>
              <w:left w:w="0" w:type="dxa"/>
              <w:bottom w:w="120" w:type="dxa"/>
              <w:right w:w="192" w:type="dxa"/>
            </w:tcMar>
            <w:vAlign w:val="center"/>
          </w:tcPr>
          <w:p w14:paraId="31CA7B5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textAlignment w:val="auto"/>
              <w:rPr>
                <w:rFonts w:hint="default" w:ascii="Times New Roman" w:hAnsi="Times New Roman" w:cs="Times New Roman"/>
                <w:color w:val="0000FF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FF"/>
                <w:sz w:val="20"/>
                <w:szCs w:val="20"/>
                <w:highlight w:val="none"/>
                <w:lang w:val="en-US" w:eastAsia="zh-CN"/>
              </w:rPr>
              <w:t>ASA class Ⅲ vs Ⅱ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18F630D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textAlignment w:val="auto"/>
              <w:rPr>
                <w:rFonts w:hint="default" w:ascii="Times New Roman" w:hAnsi="Times New Roman" w:cs="Times New Roman"/>
                <w:color w:val="0000FF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FF"/>
                <w:sz w:val="20"/>
                <w:szCs w:val="20"/>
                <w:highlight w:val="none"/>
                <w:lang w:val="en-US" w:eastAsia="zh-CN"/>
              </w:rPr>
              <w:t>1.585 (0.713, 3.653)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tcMar>
              <w:top w:w="120" w:type="dxa"/>
              <w:left w:w="192" w:type="dxa"/>
              <w:bottom w:w="120" w:type="dxa"/>
              <w:right w:w="0" w:type="dxa"/>
            </w:tcMar>
            <w:vAlign w:val="center"/>
          </w:tcPr>
          <w:p w14:paraId="1DF6F05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textAlignment w:val="auto"/>
              <w:rPr>
                <w:rFonts w:hint="default" w:ascii="Times New Roman" w:hAnsi="Times New Roman" w:cs="Times New Roman"/>
                <w:color w:val="0000FF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FF"/>
                <w:sz w:val="20"/>
                <w:szCs w:val="20"/>
                <w:highlight w:val="none"/>
                <w:lang w:val="en-US" w:eastAsia="zh-CN"/>
              </w:rPr>
              <w:t>0.265</w:t>
            </w:r>
          </w:p>
        </w:tc>
      </w:tr>
      <w:tr w14:paraId="6639B13D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tcMar>
              <w:top w:w="120" w:type="dxa"/>
              <w:left w:w="0" w:type="dxa"/>
              <w:bottom w:w="120" w:type="dxa"/>
              <w:right w:w="192" w:type="dxa"/>
            </w:tcMar>
            <w:vAlign w:val="center"/>
          </w:tcPr>
          <w:p w14:paraId="158CD62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textAlignment w:val="auto"/>
              <w:rPr>
                <w:rFonts w:hint="default" w:ascii="Times New Roman" w:hAnsi="Times New Roman" w:cs="Times New Roman"/>
                <w:color w:val="0000FF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FF"/>
                <w:sz w:val="20"/>
                <w:szCs w:val="20"/>
                <w:highlight w:val="none"/>
                <w:lang w:val="en-US" w:eastAsia="zh-CN"/>
              </w:rPr>
              <w:t>Female vs male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0B62542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textAlignment w:val="auto"/>
              <w:rPr>
                <w:rFonts w:hint="default" w:ascii="Times New Roman" w:hAnsi="Times New Roman" w:cs="Times New Roman"/>
                <w:color w:val="0000FF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FF"/>
                <w:sz w:val="20"/>
                <w:szCs w:val="20"/>
                <w:highlight w:val="none"/>
                <w:lang w:val="en-US" w:eastAsia="zh-CN"/>
              </w:rPr>
              <w:t>0.601 (0.263, 1.389)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tcMar>
              <w:top w:w="120" w:type="dxa"/>
              <w:left w:w="192" w:type="dxa"/>
              <w:bottom w:w="120" w:type="dxa"/>
              <w:right w:w="0" w:type="dxa"/>
            </w:tcMar>
            <w:vAlign w:val="center"/>
          </w:tcPr>
          <w:p w14:paraId="7EFA914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textAlignment w:val="auto"/>
              <w:rPr>
                <w:rFonts w:hint="default" w:ascii="Times New Roman" w:hAnsi="Times New Roman" w:cs="Times New Roman"/>
                <w:color w:val="0000FF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FF"/>
                <w:sz w:val="20"/>
                <w:szCs w:val="20"/>
                <w:highlight w:val="none"/>
                <w:lang w:val="en-US" w:eastAsia="zh-CN"/>
              </w:rPr>
              <w:t>0.227</w:t>
            </w:r>
          </w:p>
        </w:tc>
      </w:tr>
      <w:tr w14:paraId="6D57D007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tcMar>
              <w:top w:w="120" w:type="dxa"/>
              <w:left w:w="0" w:type="dxa"/>
              <w:bottom w:w="120" w:type="dxa"/>
              <w:right w:w="192" w:type="dxa"/>
            </w:tcMar>
            <w:vAlign w:val="center"/>
          </w:tcPr>
          <w:p w14:paraId="0765B61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textAlignment w:val="auto"/>
              <w:rPr>
                <w:rFonts w:hint="default" w:ascii="Times New Roman" w:hAnsi="Times New Roman" w:cs="Times New Roman"/>
                <w:color w:val="0000FF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FF"/>
                <w:sz w:val="20"/>
                <w:szCs w:val="20"/>
                <w:highlight w:val="none"/>
                <w:lang w:val="en-US" w:eastAsia="zh-CN"/>
              </w:rPr>
              <w:t>Weight, per 1-kg increase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0B56369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textAlignment w:val="auto"/>
              <w:rPr>
                <w:rFonts w:hint="default" w:ascii="Times New Roman" w:hAnsi="Times New Roman" w:cs="Times New Roman"/>
                <w:color w:val="0000FF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FF"/>
                <w:sz w:val="20"/>
                <w:szCs w:val="20"/>
                <w:highlight w:val="none"/>
                <w:lang w:val="en-US" w:eastAsia="zh-CN"/>
              </w:rPr>
              <w:t>0.937 (0.900, 0.973)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tcMar>
              <w:top w:w="120" w:type="dxa"/>
              <w:left w:w="192" w:type="dxa"/>
              <w:bottom w:w="120" w:type="dxa"/>
              <w:right w:w="0" w:type="dxa"/>
            </w:tcMar>
            <w:vAlign w:val="center"/>
          </w:tcPr>
          <w:p w14:paraId="457BB89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textAlignment w:val="auto"/>
              <w:rPr>
                <w:rFonts w:hint="default" w:ascii="Times New Roman" w:hAnsi="Times New Roman" w:cs="Times New Roman"/>
                <w:color w:val="0000FF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FF"/>
                <w:sz w:val="20"/>
                <w:szCs w:val="20"/>
                <w:highlight w:val="none"/>
                <w:lang w:val="en-US" w:eastAsia="zh-CN"/>
              </w:rPr>
              <w:t>0.001</w:t>
            </w:r>
          </w:p>
        </w:tc>
      </w:tr>
      <w:tr w14:paraId="6FAAE1A3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tcMar>
              <w:top w:w="120" w:type="dxa"/>
              <w:left w:w="0" w:type="dxa"/>
              <w:bottom w:w="120" w:type="dxa"/>
              <w:right w:w="192" w:type="dxa"/>
            </w:tcMar>
            <w:vAlign w:val="center"/>
          </w:tcPr>
          <w:p w14:paraId="0696A71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textAlignment w:val="auto"/>
              <w:rPr>
                <w:rFonts w:hint="default" w:ascii="Times New Roman" w:hAnsi="Times New Roman" w:cs="Times New Roman"/>
                <w:color w:val="0000FF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FF"/>
                <w:sz w:val="20"/>
                <w:szCs w:val="20"/>
                <w:highlight w:val="none"/>
                <w:lang w:val="en-US" w:eastAsia="zh-CN"/>
              </w:rPr>
              <w:t>Knee vs hip replacement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473DE4A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textAlignment w:val="auto"/>
              <w:rPr>
                <w:rFonts w:hint="default" w:ascii="Times New Roman" w:hAnsi="Times New Roman" w:cs="Times New Roman"/>
                <w:color w:val="0000FF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FF"/>
                <w:sz w:val="20"/>
                <w:szCs w:val="20"/>
                <w:highlight w:val="none"/>
                <w:lang w:val="en-US" w:eastAsia="zh-CN"/>
              </w:rPr>
              <w:t>0.737 (0.371, 1.465)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tcMar>
              <w:top w:w="120" w:type="dxa"/>
              <w:left w:w="192" w:type="dxa"/>
              <w:bottom w:w="120" w:type="dxa"/>
              <w:right w:w="0" w:type="dxa"/>
            </w:tcMar>
            <w:vAlign w:val="center"/>
          </w:tcPr>
          <w:p w14:paraId="61322A1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textAlignment w:val="auto"/>
              <w:rPr>
                <w:rFonts w:hint="default" w:ascii="Times New Roman" w:hAnsi="Times New Roman" w:cs="Times New Roman"/>
                <w:color w:val="0000FF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FF"/>
                <w:sz w:val="20"/>
                <w:szCs w:val="20"/>
                <w:highlight w:val="none"/>
                <w:lang w:val="en-US" w:eastAsia="zh-CN"/>
              </w:rPr>
              <w:t>0.382</w:t>
            </w:r>
          </w:p>
        </w:tc>
      </w:tr>
      <w:tr w14:paraId="7FDBFF78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tcMar>
              <w:top w:w="120" w:type="dxa"/>
              <w:left w:w="0" w:type="dxa"/>
              <w:bottom w:w="120" w:type="dxa"/>
              <w:right w:w="192" w:type="dxa"/>
            </w:tcMar>
            <w:vAlign w:val="center"/>
          </w:tcPr>
          <w:p w14:paraId="3DB87F4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textAlignment w:val="auto"/>
              <w:rPr>
                <w:rFonts w:hint="default" w:ascii="Times New Roman" w:hAnsi="Times New Roman" w:cs="Times New Roman"/>
                <w:color w:val="0000FF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FF"/>
                <w:sz w:val="20"/>
                <w:szCs w:val="20"/>
                <w:highlight w:val="none"/>
                <w:lang w:val="en-US" w:eastAsia="zh-CN"/>
              </w:rPr>
              <w:t>Intraoperative bleeding volume, per 1 mL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1D09192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textAlignment w:val="auto"/>
              <w:rPr>
                <w:rFonts w:hint="default" w:ascii="Times New Roman" w:hAnsi="Times New Roman" w:cs="Times New Roman"/>
                <w:color w:val="0000FF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FF"/>
                <w:sz w:val="20"/>
                <w:szCs w:val="20"/>
                <w:highlight w:val="none"/>
                <w:lang w:val="en-US" w:eastAsia="zh-CN"/>
              </w:rPr>
              <w:t>0.998 (0.992, 1.003)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tcMar>
              <w:top w:w="120" w:type="dxa"/>
              <w:left w:w="192" w:type="dxa"/>
              <w:bottom w:w="120" w:type="dxa"/>
              <w:right w:w="0" w:type="dxa"/>
            </w:tcMar>
            <w:vAlign w:val="center"/>
          </w:tcPr>
          <w:p w14:paraId="526329F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textAlignment w:val="auto"/>
              <w:rPr>
                <w:rFonts w:hint="default" w:ascii="Times New Roman" w:hAnsi="Times New Roman" w:cs="Times New Roman"/>
                <w:color w:val="0000FF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FF"/>
                <w:sz w:val="20"/>
                <w:szCs w:val="20"/>
                <w:highlight w:val="none"/>
                <w:lang w:val="en-US" w:eastAsia="zh-CN"/>
              </w:rPr>
              <w:t>0.397</w:t>
            </w:r>
          </w:p>
        </w:tc>
      </w:tr>
      <w:tr w14:paraId="4D758860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tcMar>
              <w:top w:w="120" w:type="dxa"/>
              <w:left w:w="0" w:type="dxa"/>
              <w:bottom w:w="120" w:type="dxa"/>
              <w:right w:w="192" w:type="dxa"/>
            </w:tcMar>
            <w:vAlign w:val="center"/>
          </w:tcPr>
          <w:p w14:paraId="24CAB08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textAlignment w:val="auto"/>
              <w:rPr>
                <w:rFonts w:hint="default" w:ascii="Times New Roman" w:hAnsi="Times New Roman" w:cs="Times New Roman"/>
                <w:color w:val="0000FF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FF"/>
                <w:sz w:val="20"/>
                <w:szCs w:val="20"/>
                <w:highlight w:val="none"/>
                <w:lang w:val="en-US" w:eastAsia="zh-CN"/>
              </w:rPr>
              <w:t>Indirect bilirubin, per 1 μmol/L increase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4A25677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textAlignment w:val="auto"/>
              <w:rPr>
                <w:rFonts w:hint="default" w:ascii="Times New Roman" w:hAnsi="Times New Roman" w:cs="Times New Roman"/>
                <w:color w:val="0000FF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FF"/>
                <w:sz w:val="20"/>
                <w:szCs w:val="20"/>
                <w:highlight w:val="none"/>
                <w:lang w:val="en-US" w:eastAsia="zh-CN"/>
              </w:rPr>
              <w:t>0.852 (0.770, 0.931)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tcMar>
              <w:top w:w="120" w:type="dxa"/>
              <w:left w:w="192" w:type="dxa"/>
              <w:bottom w:w="120" w:type="dxa"/>
              <w:right w:w="0" w:type="dxa"/>
            </w:tcMar>
            <w:vAlign w:val="center"/>
          </w:tcPr>
          <w:p w14:paraId="50EC8B2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textAlignment w:val="auto"/>
              <w:rPr>
                <w:rFonts w:hint="default" w:ascii="Times New Roman" w:hAnsi="Times New Roman" w:cs="Times New Roman"/>
                <w:color w:val="0000FF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FF"/>
                <w:sz w:val="20"/>
                <w:szCs w:val="20"/>
                <w:highlight w:val="none"/>
                <w:lang w:val="en-US" w:eastAsia="zh-CN"/>
              </w:rPr>
              <w:t>0.001</w:t>
            </w:r>
          </w:p>
        </w:tc>
      </w:tr>
      <w:tr w14:paraId="2F5A682C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tcMar>
              <w:top w:w="120" w:type="dxa"/>
              <w:left w:w="0" w:type="dxa"/>
              <w:bottom w:w="120" w:type="dxa"/>
              <w:right w:w="192" w:type="dxa"/>
            </w:tcMar>
            <w:vAlign w:val="center"/>
          </w:tcPr>
          <w:p w14:paraId="35F4441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textAlignment w:val="auto"/>
              <w:rPr>
                <w:rFonts w:hint="default" w:ascii="Times New Roman" w:hAnsi="Times New Roman" w:cs="Times New Roman"/>
                <w:color w:val="0000FF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FF"/>
                <w:sz w:val="20"/>
                <w:szCs w:val="20"/>
                <w:highlight w:val="none"/>
                <w:lang w:val="en-US" w:eastAsia="zh-CN"/>
              </w:rPr>
              <w:t>ALT, per 1 U/L increase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5EEB192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textAlignment w:val="auto"/>
              <w:rPr>
                <w:rFonts w:hint="default" w:ascii="Times New Roman" w:hAnsi="Times New Roman" w:cs="Times New Roman"/>
                <w:color w:val="0000FF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FF"/>
                <w:sz w:val="20"/>
                <w:szCs w:val="20"/>
                <w:highlight w:val="none"/>
                <w:lang w:val="en-US" w:eastAsia="zh-CN"/>
              </w:rPr>
              <w:t>1.015 (0.954, 1.076)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tcMar>
              <w:top w:w="120" w:type="dxa"/>
              <w:left w:w="192" w:type="dxa"/>
              <w:bottom w:w="120" w:type="dxa"/>
              <w:right w:w="0" w:type="dxa"/>
            </w:tcMar>
            <w:vAlign w:val="center"/>
          </w:tcPr>
          <w:p w14:paraId="009BE35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textAlignment w:val="auto"/>
              <w:rPr>
                <w:rFonts w:hint="default" w:ascii="Times New Roman" w:hAnsi="Times New Roman" w:cs="Times New Roman"/>
                <w:color w:val="0000FF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FF"/>
                <w:sz w:val="20"/>
                <w:szCs w:val="20"/>
                <w:highlight w:val="none"/>
                <w:lang w:val="en-US" w:eastAsia="zh-CN"/>
              </w:rPr>
              <w:t>0.615</w:t>
            </w:r>
          </w:p>
        </w:tc>
      </w:tr>
      <w:tr w14:paraId="155CC158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tcMar>
              <w:top w:w="120" w:type="dxa"/>
              <w:left w:w="0" w:type="dxa"/>
              <w:bottom w:w="120" w:type="dxa"/>
              <w:right w:w="192" w:type="dxa"/>
            </w:tcMar>
            <w:vAlign w:val="center"/>
          </w:tcPr>
          <w:p w14:paraId="2E52AC6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textAlignment w:val="auto"/>
              <w:rPr>
                <w:rFonts w:hint="default" w:ascii="Times New Roman" w:hAnsi="Times New Roman" w:cs="Times New Roman"/>
                <w:color w:val="0000FF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FF"/>
                <w:sz w:val="20"/>
                <w:szCs w:val="20"/>
                <w:highlight w:val="none"/>
                <w:lang w:val="en-US" w:eastAsia="zh-CN"/>
              </w:rPr>
              <w:t>AST, per 1 U/L increase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4BC0B5B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textAlignment w:val="auto"/>
              <w:rPr>
                <w:rFonts w:hint="default" w:ascii="Times New Roman" w:hAnsi="Times New Roman" w:cs="Times New Roman"/>
                <w:color w:val="0000FF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FF"/>
                <w:sz w:val="20"/>
                <w:szCs w:val="20"/>
                <w:highlight w:val="none"/>
                <w:lang w:val="en-US" w:eastAsia="zh-CN"/>
              </w:rPr>
              <w:t>0.978 (0.925, 1.026)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tcMar>
              <w:top w:w="120" w:type="dxa"/>
              <w:left w:w="192" w:type="dxa"/>
              <w:bottom w:w="120" w:type="dxa"/>
              <w:right w:w="0" w:type="dxa"/>
            </w:tcMar>
            <w:vAlign w:val="center"/>
          </w:tcPr>
          <w:p w14:paraId="782684A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textAlignment w:val="auto"/>
              <w:rPr>
                <w:rFonts w:hint="default" w:ascii="Times New Roman" w:hAnsi="Times New Roman" w:cs="Times New Roman"/>
                <w:color w:val="0000FF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FF"/>
                <w:sz w:val="20"/>
                <w:szCs w:val="20"/>
                <w:highlight w:val="none"/>
                <w:lang w:val="en-US" w:eastAsia="zh-CN"/>
              </w:rPr>
              <w:t>0.389</w:t>
            </w:r>
          </w:p>
        </w:tc>
      </w:tr>
      <w:tr w14:paraId="34762A05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tcMar>
              <w:top w:w="120" w:type="dxa"/>
              <w:left w:w="0" w:type="dxa"/>
              <w:bottom w:w="120" w:type="dxa"/>
              <w:right w:w="192" w:type="dxa"/>
            </w:tcMar>
            <w:vAlign w:val="center"/>
          </w:tcPr>
          <w:p w14:paraId="7CE724F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textAlignment w:val="auto"/>
              <w:rPr>
                <w:rFonts w:hint="default" w:ascii="Times New Roman" w:hAnsi="Times New Roman" w:cs="Times New Roman"/>
                <w:color w:val="0000FF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FF"/>
                <w:sz w:val="20"/>
                <w:szCs w:val="20"/>
                <w:highlight w:val="none"/>
                <w:lang w:val="en-US" w:eastAsia="zh-CN"/>
              </w:rPr>
              <w:t>Postoperative NRS score, per 1-point increase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7A4F9E0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textAlignment w:val="auto"/>
              <w:rPr>
                <w:rFonts w:hint="default" w:ascii="Times New Roman" w:hAnsi="Times New Roman" w:cs="Times New Roman"/>
                <w:color w:val="0000FF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FF"/>
                <w:sz w:val="20"/>
                <w:szCs w:val="20"/>
                <w:highlight w:val="none"/>
                <w:lang w:val="en-US" w:eastAsia="zh-CN"/>
              </w:rPr>
              <w:t>1.019 (0.702, 1.483)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tcMar>
              <w:top w:w="120" w:type="dxa"/>
              <w:left w:w="192" w:type="dxa"/>
              <w:bottom w:w="120" w:type="dxa"/>
              <w:right w:w="0" w:type="dxa"/>
            </w:tcMar>
            <w:vAlign w:val="center"/>
          </w:tcPr>
          <w:p w14:paraId="46067FB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textAlignment w:val="auto"/>
              <w:rPr>
                <w:rFonts w:hint="default" w:ascii="Times New Roman" w:hAnsi="Times New Roman" w:cs="Times New Roman"/>
                <w:color w:val="0000FF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FF"/>
                <w:sz w:val="20"/>
                <w:szCs w:val="20"/>
                <w:highlight w:val="none"/>
                <w:lang w:val="en-US" w:eastAsia="zh-CN"/>
              </w:rPr>
              <w:t>0.919</w:t>
            </w:r>
          </w:p>
        </w:tc>
      </w:tr>
      <w:tr w14:paraId="2F1A0213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gridSpan w:val="3"/>
            <w:tcBorders>
              <w:tl2br w:val="nil"/>
              <w:tr2bl w:val="nil"/>
            </w:tcBorders>
            <w:shd w:val="clear" w:color="auto" w:fill="auto"/>
            <w:tcMar>
              <w:top w:w="120" w:type="dxa"/>
              <w:left w:w="0" w:type="dxa"/>
              <w:bottom w:w="120" w:type="dxa"/>
              <w:right w:w="192" w:type="dxa"/>
            </w:tcMar>
            <w:vAlign w:val="center"/>
          </w:tcPr>
          <w:p w14:paraId="4C33348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textAlignment w:val="auto"/>
              <w:rPr>
                <w:rFonts w:hint="default" w:ascii="Times New Roman" w:hAnsi="Times New Roman" w:cs="Times New Roman"/>
                <w:color w:val="0000FF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FF"/>
                <w:sz w:val="20"/>
                <w:szCs w:val="20"/>
                <w:highlight w:val="none"/>
                <w:lang w:val="en-US" w:eastAsia="zh-CN"/>
              </w:rPr>
              <w:t>Model specification: POD ~ age + ASA + sex + weight + surgery type + intraoperative bleeding volume + indirect bilirubin + ALT + AST + postoperative NRS score.</w:t>
            </w:r>
          </w:p>
        </w:tc>
      </w:tr>
    </w:tbl>
    <w:p w14:paraId="468C6CD8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74CC6F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2026-03-29T01:57:12Z</dcterms:created>
  <dc:creator>86159</dc:creator>
  <cp:lastModifiedBy>经刻苦</cp:lastModifiedBy>
  <dcterms:modified xsi:type="dcterms:W3CDTF">2026-03-29T01:57:32Z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KSOTemplateDocerSaveRecord">
    <vt:lpwstr>eyJoZGlkIjoiMGRlODRhYWRjNDllZGQ1Zjg0NGVhNmU0ODU1OTQxZWEiLCJ1c2VySWQiOiI2MDgxOTIyNTQifQ==</vt:lpwstr>
  </property>
  <property fmtid="{D5CDD505-2E9C-101B-9397-08002B2CF9AE}" pid="4" name="ICV">
    <vt:lpwstr>C8984C37DF0F404886500B97D516B331_12</vt:lpwstr>
  </property>
</Properties>
</file>