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DD1E5">
      <w:pPr>
        <w:numPr>
          <w:ilvl w:val="12"/>
          <w:numId w:val="0"/>
        </w:numPr>
        <w:snapToGrid w:val="0"/>
        <w:spacing w:line="480" w:lineRule="auto"/>
        <w:ind w:left="0" w:firstLine="0"/>
        <w:contextualSpacing/>
        <w:jc w:val="left"/>
        <w:rPr>
          <w:rFonts w:hint="default" w:ascii="Times New Roman" w:hAnsi="Times New Roman" w:eastAsia="Times New Roman" w:cs="Times New Roman"/>
          <w:kern w:val="0"/>
          <w:sz w:val="24"/>
          <w:szCs w:val="20"/>
          <w:lang w:val="en-US" w:eastAsia="zh-CN"/>
        </w:rPr>
      </w:pPr>
      <w:r>
        <w:rPr>
          <w:rFonts w:ascii="Times New Roman" w:hAnsi="Times New Roman" w:eastAsia="Times New Roman" w:cs="Times New Roman"/>
          <w:b/>
          <w:kern w:val="0"/>
          <w:sz w:val="24"/>
          <w:szCs w:val="20"/>
          <w:lang w:eastAsia="en-US"/>
        </w:rPr>
        <w:t>Supplementary Table 1.</w:t>
      </w:r>
      <w:r>
        <w:rPr>
          <w:rFonts w:ascii="Times New Roman" w:hAnsi="Times New Roman" w:eastAsia="Times New Roman" w:cs="Times New Roman"/>
          <w:kern w:val="0"/>
          <w:sz w:val="24"/>
          <w:szCs w:val="20"/>
          <w:lang w:eastAsia="en-US"/>
        </w:rPr>
        <w:t xml:space="preserve"> Concise registry-to-manuscript reconciliation</w:t>
      </w:r>
    </w:p>
    <w:tbl>
      <w:tblPr>
        <w:tblStyle w:val="4"/>
        <w:tblW w:w="8257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8"/>
        <w:gridCol w:w="3303"/>
        <w:gridCol w:w="3356"/>
      </w:tblGrid>
      <w:tr w14:paraId="7EFDAAF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tblHeader/>
          <w:jc w:val="center"/>
        </w:trPr>
        <w:tc>
          <w:tcPr>
            <w:tcW w:w="159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BDE62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Item</w:t>
            </w:r>
          </w:p>
        </w:tc>
        <w:tc>
          <w:tcPr>
            <w:tcW w:w="330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F820B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Registry entry</w:t>
            </w:r>
          </w:p>
        </w:tc>
        <w:tc>
          <w:tcPr>
            <w:tcW w:w="335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5C7D7D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Revised manuscript</w:t>
            </w:r>
          </w:p>
        </w:tc>
      </w:tr>
      <w:tr w14:paraId="02DCDFE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exact"/>
          <w:tblHeader/>
          <w:jc w:val="center"/>
        </w:trPr>
        <w:tc>
          <w:tcPr>
            <w:tcW w:w="1598" w:type="dxa"/>
            <w:tcBorders>
              <w:top w:val="nil"/>
            </w:tcBorders>
            <w:shd w:val="clear" w:color="auto" w:fill="auto"/>
            <w:vAlign w:val="center"/>
          </w:tcPr>
          <w:p w14:paraId="6493D1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Trial registration timing</w:t>
            </w:r>
          </w:p>
        </w:tc>
        <w:tc>
          <w:tcPr>
            <w:tcW w:w="3303" w:type="dxa"/>
            <w:tcBorders>
              <w:top w:val="nil"/>
            </w:tcBorders>
            <w:shd w:val="clear" w:color="auto" w:fill="auto"/>
            <w:vAlign w:val="center"/>
          </w:tcPr>
          <w:p w14:paraId="3D1F8C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Registered on 6 January 2018; first participant enrolled on 2 January 2018.</w:t>
            </w:r>
          </w:p>
        </w:tc>
        <w:tc>
          <w:tcPr>
            <w:tcW w:w="3356" w:type="dxa"/>
            <w:tcBorders>
              <w:top w:val="nil"/>
            </w:tcBorders>
            <w:shd w:val="clear" w:color="auto" w:fill="auto"/>
            <w:vAlign w:val="center"/>
          </w:tcPr>
          <w:p w14:paraId="615639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The trial is described as a single-center randomized controlled trial with retrospective registration.</w:t>
            </w:r>
          </w:p>
        </w:tc>
      </w:tr>
      <w:tr w14:paraId="7669EAA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exact"/>
          <w:tblHeader/>
          <w:jc w:val="center"/>
        </w:trPr>
        <w:tc>
          <w:tcPr>
            <w:tcW w:w="1598" w:type="dxa"/>
            <w:tcBorders>
              <w:top w:val="nil"/>
            </w:tcBorders>
            <w:shd w:val="clear" w:color="auto" w:fill="auto"/>
            <w:vAlign w:val="center"/>
          </w:tcPr>
          <w:p w14:paraId="6E8753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Primary outcome desig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nation</w:t>
            </w:r>
          </w:p>
        </w:tc>
        <w:tc>
          <w:tcPr>
            <w:tcW w:w="3303" w:type="dxa"/>
            <w:tcBorders>
              <w:top w:val="nil"/>
            </w:tcBorders>
            <w:shd w:val="clear" w:color="auto" w:fill="auto"/>
            <w:vAlign w:val="center"/>
          </w:tcPr>
          <w:p w14:paraId="7BADE8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OAA/S score and intraoperative MAP.</w:t>
            </w:r>
          </w:p>
        </w:tc>
        <w:tc>
          <w:tcPr>
            <w:tcW w:w="3356" w:type="dxa"/>
            <w:tcBorders>
              <w:top w:val="nil"/>
            </w:tcBorders>
            <w:shd w:val="clear" w:color="auto" w:fill="auto"/>
            <w:vAlign w:val="center"/>
          </w:tcPr>
          <w:p w14:paraId="78FD22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Primary outcome: wake-up time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54CB749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OAA/S score and vital signs are reported as secondary outcomes.</w:t>
            </w:r>
          </w:p>
        </w:tc>
      </w:tr>
      <w:tr w14:paraId="5B8A7F7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exact"/>
          <w:tblHeader/>
          <w:jc w:val="center"/>
        </w:trPr>
        <w:tc>
          <w:tcPr>
            <w:tcW w:w="1598" w:type="dxa"/>
            <w:shd w:val="clear" w:color="auto" w:fill="auto"/>
            <w:vAlign w:val="center"/>
          </w:tcPr>
          <w:p w14:paraId="585AEB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Sample size</w:t>
            </w:r>
          </w:p>
        </w:tc>
        <w:tc>
          <w:tcPr>
            <w:tcW w:w="3303" w:type="dxa"/>
            <w:shd w:val="clear" w:color="auto" w:fill="auto"/>
            <w:vAlign w:val="center"/>
          </w:tcPr>
          <w:p w14:paraId="3977AA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Target sample size: 40 participants, with 20 participants per group.</w:t>
            </w:r>
          </w:p>
        </w:tc>
        <w:tc>
          <w:tcPr>
            <w:tcW w:w="3356" w:type="dxa"/>
            <w:shd w:val="clear" w:color="auto" w:fill="auto"/>
            <w:vAlign w:val="center"/>
          </w:tcPr>
          <w:p w14:paraId="2C4221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61 patients were randomized, and 60 were included in the final analysis. The sample-size calculation was based on wake-up time.</w:t>
            </w:r>
          </w:p>
        </w:tc>
      </w:tr>
      <w:tr w14:paraId="236EEE4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exact"/>
          <w:tblHeader/>
          <w:jc w:val="center"/>
        </w:trPr>
        <w:tc>
          <w:tcPr>
            <w:tcW w:w="1598" w:type="dxa"/>
            <w:shd w:val="clear" w:color="auto" w:fill="auto"/>
            <w:vAlign w:val="center"/>
          </w:tcPr>
          <w:p w14:paraId="6B490C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Eligibility criteria</w:t>
            </w:r>
          </w:p>
        </w:tc>
        <w:tc>
          <w:tcPr>
            <w:tcW w:w="3303" w:type="dxa"/>
            <w:shd w:val="clear" w:color="auto" w:fill="auto"/>
            <w:vAlign w:val="center"/>
          </w:tcPr>
          <w:p w14:paraId="17D1B8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Age 40–65 years; ASA physical status II–III.</w:t>
            </w:r>
          </w:p>
        </w:tc>
        <w:tc>
          <w:tcPr>
            <w:tcW w:w="3356" w:type="dxa"/>
            <w:shd w:val="clear" w:color="auto" w:fill="auto"/>
            <w:vAlign w:val="center"/>
          </w:tcPr>
          <w:p w14:paraId="2E85C7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Age 36–60 years; ASA physical status I–II; patients with brain glioma and no history of surgery or chemoradiation.</w:t>
            </w:r>
          </w:p>
        </w:tc>
      </w:tr>
    </w:tbl>
    <w:p w14:paraId="33DBE149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Abbreviations: ASA, American Society of Anesthesiologists physical status; MAP, mean arterial pressure; OAA/S, Observer’s Assessment of Alertness/Sedation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7771D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2F06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C98B4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F1884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E189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06163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7C11D95D-2075-47D1-B990-AC7D7D0800E6}"/>
    <w:docVar w:name="KY_MEDREF_VERSION" w:val="3"/>
  </w:docVars>
  <w:rsids>
    <w:rsidRoot w:val="518B1499"/>
    <w:rsid w:val="270E08DB"/>
    <w:rsid w:val="2AE92E8B"/>
    <w:rsid w:val="2D392502"/>
    <w:rsid w:val="50D96854"/>
    <w:rsid w:val="518B1499"/>
    <w:rsid w:val="5AAD793E"/>
    <w:rsid w:val="63B93A09"/>
    <w:rsid w:val="681825FD"/>
    <w:rsid w:val="6864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863</Characters>
  <Lines>0</Lines>
  <Paragraphs>0</Paragraphs>
  <TotalTime>1</TotalTime>
  <ScaleCrop>false</ScaleCrop>
  <LinksUpToDate>false</LinksUpToDate>
  <CharactersWithSpaces>979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2026-04-23T06:00:00Z</dcterms:created>
  <dc:creator>任译延</dc:creator>
  <cp:lastModifiedBy>任译延</cp:lastModifiedBy>
  <dcterms:modified xsi:type="dcterms:W3CDTF">2026-04-27T14:33:47Z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48E746AF59484196B26A0BD527B2A35D_11</vt:lpwstr>
  </property>
  <property fmtid="{D5CDD505-2E9C-101B-9397-08002B2CF9AE}" pid="4" name="KSOTemplateDocerSaveRecord">
    <vt:lpwstr>eyJoZGlkIjoiMzEwNTM5NzYwMDRjMzkwZTVkZjY2ODkwMGIxNGU0OTUiLCJ1c2VySWQiOiIxNTk1NjY5NTY3In0=</vt:lpwstr>
  </property>
</Properties>
</file>