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8AB0EA">
      <w:pPr>
        <w:spacing w:after="160" w:line="252" w:lineRule="auto"/>
        <w:jc w:val="left"/>
      </w:pPr>
      <w:r>
        <w:rPr>
          <w:rFonts w:ascii="Times New Roman" w:hAnsi="Times New Roman" w:eastAsia="Times New Roman" w:cs="Times New Roman"/>
          <w:b/>
          <w:bCs/>
          <w:i w:val="0"/>
          <w:iCs w:val="0"/>
          <w:sz w:val="24"/>
          <w:szCs w:val="24"/>
        </w:rPr>
        <w:t xml:space="preserve">Supplementary Table S1. </w:t>
      </w:r>
      <w:r>
        <w:rPr>
          <w:rFonts w:hint="eastAsia" w:ascii="Times New Roman" w:hAnsi="Times New Roman" w:eastAsia="Times New Roman" w:cs="Times New Roman"/>
          <w:b/>
          <w:bCs/>
          <w:i w:val="0"/>
          <w:iCs w:val="0"/>
          <w:sz w:val="24"/>
          <w:szCs w:val="24"/>
        </w:rPr>
        <w:t>Characteristics of the sleep-assessment instruments used in the included studies.</w:t>
      </w:r>
    </w:p>
    <w:tbl>
      <w:tblPr>
        <w:tblStyle w:val="11"/>
        <w:tblW w:w="129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200"/>
        <w:gridCol w:w="1000"/>
        <w:gridCol w:w="2900"/>
        <w:gridCol w:w="2400"/>
        <w:gridCol w:w="2100"/>
        <w:gridCol w:w="2360"/>
      </w:tblGrid>
      <w:tr w14:paraId="7625E782">
        <w:trPr>
          <w:tblHeader/>
        </w:trPr>
        <w:tc>
          <w:tcPr>
            <w:tcW w:w="22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D9E1F2"/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 w14:paraId="07773BD7">
            <w:pPr>
              <w:spacing w:after="0" w:line="252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z w:val="22"/>
                <w:szCs w:val="22"/>
              </w:rPr>
              <w:t>Assessment instrument</w:t>
            </w:r>
          </w:p>
        </w:tc>
        <w:tc>
          <w:tcPr>
            <w:tcW w:w="10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D9E1F2"/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 w14:paraId="1832AC31">
            <w:pPr>
              <w:spacing w:after="0" w:line="252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z w:val="22"/>
                <w:szCs w:val="22"/>
              </w:rPr>
              <w:t>Scoring range</w:t>
            </w:r>
          </w:p>
        </w:tc>
        <w:tc>
          <w:tcPr>
            <w:tcW w:w="29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D9E1F2"/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 w14:paraId="1C325852">
            <w:pPr>
              <w:spacing w:after="0" w:line="252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z w:val="22"/>
                <w:szCs w:val="22"/>
              </w:rPr>
              <w:t>Scoring direction (meaning of higher scores)</w:t>
            </w:r>
          </w:p>
        </w:tc>
        <w:tc>
          <w:tcPr>
            <w:tcW w:w="24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D9E1F2"/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 w14:paraId="1146851B">
            <w:pPr>
              <w:spacing w:after="0" w:line="252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z w:val="22"/>
                <w:szCs w:val="22"/>
              </w:rPr>
              <w:t>Transformation applied before pooling</w:t>
            </w:r>
          </w:p>
        </w:tc>
        <w:tc>
          <w:tcPr>
            <w:tcW w:w="21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D9E1F2"/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 w14:paraId="0EE5D822">
            <w:pPr>
              <w:spacing w:after="0" w:line="252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z w:val="22"/>
                <w:szCs w:val="22"/>
              </w:rPr>
              <w:t>Threshold used to define PSD incidence</w:t>
            </w:r>
          </w:p>
        </w:tc>
        <w:tc>
          <w:tcPr>
            <w:tcW w:w="236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shd w:val="clear" w:color="auto" w:fill="D9E1F2"/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 w14:paraId="7738F1D3">
            <w:pPr>
              <w:spacing w:after="0" w:line="252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z w:val="22"/>
                <w:szCs w:val="22"/>
              </w:rPr>
              <w:t>Included studies (references)</w:t>
            </w:r>
          </w:p>
        </w:tc>
      </w:tr>
      <w:tr w14:paraId="032DF46B">
        <w:tc>
          <w:tcPr>
            <w:tcW w:w="22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 w14:paraId="5043EA2C">
            <w:pPr>
              <w:spacing w:after="0" w:line="252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0"/>
                <w:szCs w:val="20"/>
              </w:rPr>
              <w:t>Pittsburgh Sleep Quality Index (PSQI)</w:t>
            </w:r>
          </w:p>
        </w:tc>
        <w:tc>
          <w:tcPr>
            <w:tcW w:w="10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 w14:paraId="62D96FE6">
            <w:pPr>
              <w:spacing w:after="0" w:line="252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0"/>
                <w:szCs w:val="20"/>
              </w:rPr>
              <w:t>0–21</w:t>
            </w:r>
          </w:p>
        </w:tc>
        <w:tc>
          <w:tcPr>
            <w:tcW w:w="29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 w14:paraId="7436B7A9">
            <w:pPr>
              <w:spacing w:after="0" w:line="252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0"/>
                <w:szCs w:val="20"/>
              </w:rPr>
              <w:t>Higher score indicates worse sleep quality / more severe sleep disturbance (21 = worst sleep)</w:t>
            </w:r>
          </w:p>
        </w:tc>
        <w:tc>
          <w:tcPr>
            <w:tcW w:w="24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 w14:paraId="79D2C427">
            <w:pPr>
              <w:spacing w:after="0" w:line="252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0"/>
                <w:szCs w:val="20"/>
              </w:rPr>
              <w:t>None (lower score already indicates better sleep)</w:t>
            </w:r>
          </w:p>
        </w:tc>
        <w:tc>
          <w:tcPr>
            <w:tcW w:w="21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 w14:paraId="3A19D7CC">
            <w:pPr>
              <w:spacing w:after="0" w:line="252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0"/>
                <w:szCs w:val="20"/>
              </w:rPr>
              <w:t>PSQI &gt; 5 (poor sleep), in trials reporting PSD incidence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236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 w14:paraId="7746EED2">
            <w:pPr>
              <w:spacing w:after="0" w:line="252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0"/>
                <w:szCs w:val="20"/>
              </w:rPr>
              <w:t>He QL 2024; Wei QF 2024; Xie A 2024; Shang Y 2025; Song ZH 2025; Zhang J 2025</w:t>
            </w:r>
          </w:p>
        </w:tc>
      </w:tr>
      <w:tr w14:paraId="359D230B">
        <w:tc>
          <w:tcPr>
            <w:tcW w:w="22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 w14:paraId="05C116BB">
            <w:pPr>
              <w:spacing w:after="0" w:line="252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0"/>
                <w:szCs w:val="20"/>
              </w:rPr>
              <w:t>Athens Insomnia Scale (AIS)</w:t>
            </w:r>
          </w:p>
        </w:tc>
        <w:tc>
          <w:tcPr>
            <w:tcW w:w="10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 w14:paraId="3A47C49A">
            <w:pPr>
              <w:spacing w:after="0" w:line="252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0"/>
                <w:szCs w:val="20"/>
              </w:rPr>
              <w:t>0–24</w:t>
            </w:r>
          </w:p>
        </w:tc>
        <w:tc>
          <w:tcPr>
            <w:tcW w:w="29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 w14:paraId="4F73C9A6">
            <w:pPr>
              <w:spacing w:after="0" w:line="252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0"/>
                <w:szCs w:val="20"/>
              </w:rPr>
              <w:t>Higher score indicates worse sleep quality / more severe insomnia (24 = worst sleep)</w:t>
            </w:r>
          </w:p>
        </w:tc>
        <w:tc>
          <w:tcPr>
            <w:tcW w:w="24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 w14:paraId="411D737D">
            <w:pPr>
              <w:spacing w:after="0" w:line="252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0"/>
                <w:szCs w:val="20"/>
              </w:rPr>
              <w:t>None (lower score already indicates better sleep)</w:t>
            </w:r>
          </w:p>
        </w:tc>
        <w:tc>
          <w:tcPr>
            <w:tcW w:w="21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 w14:paraId="10B77EA9">
            <w:pPr>
              <w:spacing w:after="0" w:line="252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0"/>
                <w:szCs w:val="20"/>
              </w:rPr>
              <w:t>AIS ≥ 6</w:t>
            </w:r>
          </w:p>
        </w:tc>
        <w:tc>
          <w:tcPr>
            <w:tcW w:w="236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 w14:paraId="00D85FD3">
            <w:pPr>
              <w:spacing w:after="0" w:line="252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0"/>
                <w:szCs w:val="20"/>
              </w:rPr>
              <w:t>Sun L 2023; Chen HT 2024; Jing ZJ 2024; Chen ZP 2025; Geng XY 2025; Wu YN 2025; Zhao Y 2025</w:t>
            </w:r>
          </w:p>
        </w:tc>
      </w:tr>
      <w:tr w14:paraId="6B74D0B8">
        <w:tc>
          <w:tcPr>
            <w:tcW w:w="22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 w14:paraId="75A52FBF">
            <w:pPr>
              <w:spacing w:after="0" w:line="252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0"/>
                <w:szCs w:val="20"/>
              </w:rPr>
              <w:t>Richards–Campbell Sleep Questionnaire (RCSQ)</w:t>
            </w:r>
          </w:p>
        </w:tc>
        <w:tc>
          <w:tcPr>
            <w:tcW w:w="10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 w14:paraId="2DBED127">
            <w:pPr>
              <w:spacing w:after="0" w:line="252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0"/>
                <w:szCs w:val="20"/>
              </w:rPr>
              <w:t>0–100</w:t>
            </w:r>
          </w:p>
        </w:tc>
        <w:tc>
          <w:tcPr>
            <w:tcW w:w="29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 w14:paraId="10C178FF">
            <w:pPr>
              <w:spacing w:after="0" w:line="252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0"/>
                <w:szCs w:val="20"/>
              </w:rPr>
              <w:t>Higher score indicates better sleep quality / better perceived sleep (100 = best sleep)</w:t>
            </w:r>
          </w:p>
        </w:tc>
        <w:tc>
          <w:tcPr>
            <w:tcW w:w="24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 w14:paraId="1F50FD49">
            <w:pPr>
              <w:spacing w:after="0" w:line="252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0"/>
                <w:szCs w:val="20"/>
              </w:rPr>
              <w:t>Reverse-scored before pooling: 100 − raw mean score</w:t>
            </w:r>
          </w:p>
        </w:tc>
        <w:tc>
          <w:tcPr>
            <w:tcW w:w="21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 w14:paraId="3F3A56FF">
            <w:pPr>
              <w:spacing w:after="0" w:line="252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0"/>
                <w:szCs w:val="20"/>
              </w:rPr>
              <w:t>Not used to classify PSD incidence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236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 w14:paraId="0500D2C7">
            <w:pPr>
              <w:spacing w:after="0" w:line="252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0"/>
                <w:szCs w:val="20"/>
              </w:rPr>
              <w:t>Zhang TZ 2023; Zhou R 2023; Fu MY 2024; Lin XR 2024; Chen Y 2025</w:t>
            </w:r>
          </w:p>
        </w:tc>
      </w:tr>
      <w:tr w14:paraId="74C9B0A0">
        <w:tc>
          <w:tcPr>
            <w:tcW w:w="22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 w14:paraId="73576EAE">
            <w:pPr>
              <w:spacing w:after="0" w:line="252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0"/>
                <w:szCs w:val="20"/>
              </w:rPr>
              <w:t>Numeric Rating Scale (NRS) for sleep</w:t>
            </w:r>
          </w:p>
        </w:tc>
        <w:tc>
          <w:tcPr>
            <w:tcW w:w="10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 w14:paraId="7405C2A9">
            <w:pPr>
              <w:spacing w:after="0" w:line="252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0"/>
                <w:szCs w:val="20"/>
              </w:rPr>
              <w:t>0–10</w:t>
            </w:r>
          </w:p>
        </w:tc>
        <w:tc>
          <w:tcPr>
            <w:tcW w:w="29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 w14:paraId="78D4B749">
            <w:pPr>
              <w:spacing w:after="0" w:line="252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0"/>
                <w:szCs w:val="20"/>
              </w:rPr>
              <w:t>Higher score indicates worse sleep quality (10 = worst possible sleep)</w:t>
            </w:r>
          </w:p>
        </w:tc>
        <w:tc>
          <w:tcPr>
            <w:tcW w:w="24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 w14:paraId="06D6A115">
            <w:pPr>
              <w:spacing w:after="0" w:line="252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0"/>
                <w:szCs w:val="20"/>
              </w:rPr>
              <w:t>None (lower score already indicates better sleep)</w:t>
            </w:r>
          </w:p>
        </w:tc>
        <w:tc>
          <w:tcPr>
            <w:tcW w:w="21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 w14:paraId="2C70F66B">
            <w:pPr>
              <w:spacing w:after="0" w:line="252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0"/>
                <w:szCs w:val="20"/>
              </w:rPr>
              <w:t>NRS ≥ 6</w:t>
            </w:r>
          </w:p>
        </w:tc>
        <w:tc>
          <w:tcPr>
            <w:tcW w:w="236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 w14:paraId="6C07A4C9">
            <w:pPr>
              <w:spacing w:after="0" w:line="252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0"/>
                <w:szCs w:val="20"/>
              </w:rPr>
              <w:t>Qiu D 2022; Wang HJ 2025; Zhou YH 2025</w:t>
            </w:r>
          </w:p>
        </w:tc>
      </w:tr>
      <w:tr w14:paraId="0E45AEEB">
        <w:tc>
          <w:tcPr>
            <w:tcW w:w="22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 w14:paraId="70045547">
            <w:pPr>
              <w:spacing w:after="0" w:line="252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0"/>
                <w:szCs w:val="20"/>
              </w:rPr>
              <w:t>10-point rating scale</w:t>
            </w:r>
          </w:p>
        </w:tc>
        <w:tc>
          <w:tcPr>
            <w:tcW w:w="10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 w14:paraId="243AB77B">
            <w:pPr>
              <w:spacing w:after="0" w:line="252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0"/>
                <w:szCs w:val="20"/>
              </w:rPr>
              <w:t>0–10</w:t>
            </w:r>
          </w:p>
        </w:tc>
        <w:tc>
          <w:tcPr>
            <w:tcW w:w="29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 w14:paraId="5282DD3F">
            <w:pPr>
              <w:spacing w:after="0" w:line="252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0"/>
                <w:szCs w:val="20"/>
              </w:rPr>
              <w:t>Higher score indicates better sleep quality (10 = excellent sleep)</w:t>
            </w:r>
          </w:p>
        </w:tc>
        <w:tc>
          <w:tcPr>
            <w:tcW w:w="24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 w14:paraId="2176429A">
            <w:pPr>
              <w:spacing w:after="0" w:line="252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0"/>
                <w:szCs w:val="20"/>
              </w:rPr>
              <w:t>Reverse-scored before pooling: 10 − raw mean score</w:t>
            </w:r>
          </w:p>
        </w:tc>
        <w:tc>
          <w:tcPr>
            <w:tcW w:w="21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 w14:paraId="1263CF9F">
            <w:pPr>
              <w:spacing w:after="0" w:line="252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0"/>
                <w:szCs w:val="20"/>
              </w:rPr>
              <w:t>Not used to classify PSD incidence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236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 w14:paraId="6D9BCB96">
            <w:pPr>
              <w:spacing w:after="0" w:line="252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0"/>
                <w:szCs w:val="20"/>
              </w:rPr>
              <w:t>Zhu M 2022</w:t>
            </w:r>
          </w:p>
        </w:tc>
      </w:tr>
      <w:tr w14:paraId="7E082375">
        <w:tc>
          <w:tcPr>
            <w:tcW w:w="22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 w14:paraId="6D48F7F1">
            <w:pPr>
              <w:spacing w:after="0" w:line="252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0"/>
                <w:szCs w:val="20"/>
              </w:rPr>
              <w:t>4-point rating scale</w:t>
            </w:r>
          </w:p>
        </w:tc>
        <w:tc>
          <w:tcPr>
            <w:tcW w:w="10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 w14:paraId="60799AC5">
            <w:pPr>
              <w:spacing w:after="0" w:line="252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0"/>
                <w:szCs w:val="20"/>
              </w:rPr>
              <w:t>1–4</w:t>
            </w:r>
          </w:p>
        </w:tc>
        <w:tc>
          <w:tcPr>
            <w:tcW w:w="29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 w14:paraId="41830F0F">
            <w:pPr>
              <w:spacing w:after="0" w:line="252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0"/>
                <w:szCs w:val="20"/>
              </w:rPr>
              <w:t>Higher score indicates worse sleep quality (4 = sleepless)</w:t>
            </w:r>
          </w:p>
        </w:tc>
        <w:tc>
          <w:tcPr>
            <w:tcW w:w="24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 w14:paraId="5DAACA1B">
            <w:pPr>
              <w:spacing w:after="0" w:line="252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0"/>
                <w:szCs w:val="20"/>
              </w:rPr>
              <w:t>None (lower score already indicates better sleep)</w:t>
            </w:r>
          </w:p>
        </w:tc>
        <w:tc>
          <w:tcPr>
            <w:tcW w:w="210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 w14:paraId="56AC9D89">
            <w:pPr>
              <w:spacing w:after="0" w:line="252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0"/>
                <w:szCs w:val="20"/>
              </w:rPr>
              <w:t>Not used to classify PSD incidence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2360" w:type="dxa"/>
            <w:tcBorders>
              <w:top w:val="single" w:color="808080" w:sz="4" w:space="0"/>
              <w:left w:val="single" w:color="808080" w:sz="4" w:space="0"/>
              <w:bottom w:val="single" w:color="808080" w:sz="4" w:space="0"/>
              <w:right w:val="single" w:color="808080" w:sz="4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 w14:paraId="278FE62E">
            <w:pPr>
              <w:spacing w:after="0" w:line="252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0"/>
                <w:szCs w:val="20"/>
              </w:rPr>
              <w:t>Wang PL 2023</w:t>
            </w:r>
          </w:p>
        </w:tc>
      </w:tr>
    </w:tbl>
    <w:p w14:paraId="00F97771">
      <w:pPr>
        <w:spacing w:after="60" w:line="252" w:lineRule="auto"/>
        <w:jc w:val="left"/>
      </w:pPr>
    </w:p>
    <w:p w14:paraId="39A67B41">
      <w:pPr>
        <w:spacing w:after="80" w:line="252" w:lineRule="auto"/>
        <w:jc w:val="left"/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18"/>
          <w:szCs w:val="18"/>
        </w:rPr>
        <w:t>PSD, postoperative sleep disturbance; PSQI, Pittsburgh Sleep Quality Index; AIS, Athens Insomnia Scale; RCSQ, Richards–Campbell Sleep Questionnaire; NRS, Numeric Rating Scale.</w:t>
      </w:r>
    </w:p>
    <w:p w14:paraId="039FBF38">
      <w:pPr>
        <w:spacing w:after="80" w:line="252" w:lineRule="auto"/>
        <w:jc w:val="left"/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18"/>
          <w:szCs w:val="18"/>
        </w:rPr>
        <w:t>Before pooling, all scales were harmonized so that a lower score consistently indicated better sleep quality; scales on which higher scores indicate better sleep (RCSQ and the 10-point rating scale) were reverse-scored by subtracting the raw mean from the maximum possible scale score. Continuous sleep-quality scores were then pooled using the ratio of means (ROM).</w:t>
      </w:r>
    </w:p>
    <w:p w14:paraId="30DD1555">
      <w:pPr>
        <w:spacing w:after="0" w:line="252" w:lineRule="auto"/>
        <w:jc w:val="left"/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18"/>
          <w:szCs w:val="18"/>
          <w:vertAlign w:val="superscript"/>
        </w:rPr>
        <w:t>a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18"/>
          <w:szCs w:val="18"/>
        </w:rPr>
        <w:t xml:space="preserve"> The incidence of PSD was defined by each trial individually; across the included trials PSD was most commonly defined as AIS ≥ 6 or NRS ≥ 6 (see Table 1). Trials using continuous instruments (PSQI, RCSQ, and the 10- and 4-point rating scales) contributed primarily to the continuous sleep-quality analysis; where such a trial additionally reported PSD incidence, its own trial-specific threshold was applied.</w:t>
      </w:r>
      <w:bookmarkStart w:id="0" w:name="_GoBack"/>
      <w:bookmarkEnd w:id="0"/>
    </w:p>
    <w:sectPr>
      <w:pgSz w:w="15840" w:h="12240" w:orient="landscape"/>
      <w:pgMar w:top="1440" w:right="1440" w:bottom="1440" w:left="144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6"/>
    <w:family w:val="auto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1"/>
  <w:documentProtection w:enforcement="0"/>
  <w:compat>
    <w:useFELayout/>
    <w:compatSetting w:name="compatibilityMode" w:uri="http://schemas.microsoft.com/office/word" w:val="15"/>
  </w:compat>
  <w:rsids>
    <w:rsidRoot w:val="00000000"/>
    <w:rsid w:val="5FAD2E32"/>
    <w:rsid w:val="7CBC84B4"/>
    <w:rsid w:val="8A5C44DB"/>
    <w:rsid w:val="F7BC38CC"/>
    <w:rsid w:val="FFAE0F7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iPriority="99" w:name="endnote reference"/>
    <w:lsdException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Times New Roman" w:cs="Times New Roman"/>
      <w:sz w:val="20"/>
      <w:szCs w:val="20"/>
    </w:rPr>
  </w:style>
  <w:style w:type="paragraph" w:styleId="2">
    <w:name w:val="heading 1"/>
    <w:next w:val="1"/>
    <w:qFormat/>
    <w:uiPriority w:val="0"/>
    <w:rPr>
      <w:rFonts w:ascii="Times New Roman" w:hAnsi="Times New Roman" w:eastAsia="Times New Roman" w:cs="Times New Roman"/>
      <w:color w:val="2E74B5"/>
      <w:sz w:val="32"/>
      <w:szCs w:val="32"/>
    </w:rPr>
  </w:style>
  <w:style w:type="paragraph" w:styleId="3">
    <w:name w:val="heading 2"/>
    <w:next w:val="1"/>
    <w:qFormat/>
    <w:uiPriority w:val="0"/>
    <w:rPr>
      <w:rFonts w:ascii="Times New Roman" w:hAnsi="Times New Roman" w:eastAsia="Times New Roman" w:cs="Times New Roman"/>
      <w:color w:val="2E74B5"/>
      <w:sz w:val="26"/>
      <w:szCs w:val="26"/>
    </w:rPr>
  </w:style>
  <w:style w:type="paragraph" w:styleId="4">
    <w:name w:val="heading 3"/>
    <w:next w:val="1"/>
    <w:qFormat/>
    <w:uiPriority w:val="0"/>
    <w:rPr>
      <w:rFonts w:ascii="Times New Roman" w:hAnsi="Times New Roman" w:eastAsia="Times New Roman" w:cs="Times New Roman"/>
      <w:color w:val="1F4D78"/>
      <w:sz w:val="24"/>
      <w:szCs w:val="24"/>
    </w:rPr>
  </w:style>
  <w:style w:type="paragraph" w:styleId="5">
    <w:name w:val="heading 4"/>
    <w:next w:val="1"/>
    <w:qFormat/>
    <w:uiPriority w:val="0"/>
    <w:rPr>
      <w:rFonts w:ascii="Times New Roman" w:hAnsi="Times New Roman" w:eastAsia="Times New Roman" w:cs="Times New Roman"/>
      <w:i/>
      <w:iCs/>
      <w:color w:val="2E74B5"/>
      <w:sz w:val="20"/>
      <w:szCs w:val="20"/>
    </w:rPr>
  </w:style>
  <w:style w:type="paragraph" w:styleId="6">
    <w:name w:val="heading 5"/>
    <w:next w:val="1"/>
    <w:qFormat/>
    <w:uiPriority w:val="0"/>
    <w:rPr>
      <w:rFonts w:ascii="Times New Roman" w:hAnsi="Times New Roman" w:eastAsia="Times New Roman" w:cs="Times New Roman"/>
      <w:color w:val="2E74B5"/>
      <w:sz w:val="20"/>
      <w:szCs w:val="20"/>
    </w:rPr>
  </w:style>
  <w:style w:type="paragraph" w:styleId="7">
    <w:name w:val="heading 6"/>
    <w:next w:val="1"/>
    <w:qFormat/>
    <w:uiPriority w:val="0"/>
    <w:rPr>
      <w:rFonts w:ascii="Times New Roman" w:hAnsi="Times New Roman" w:eastAsia="Times New Roman" w:cs="Times New Roman"/>
      <w:color w:val="1F4D78"/>
      <w:sz w:val="20"/>
      <w:szCs w:val="20"/>
    </w:rPr>
  </w:style>
  <w:style w:type="character" w:default="1" w:styleId="12">
    <w:name w:val="Default Paragraph Font"/>
    <w:semiHidden/>
    <w:uiPriority w:val="0"/>
  </w:style>
  <w:style w:type="table" w:default="1" w:styleId="11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endnote text"/>
    <w:link w:val="18"/>
    <w:semiHidden/>
    <w:unhideWhenUsed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</w:rPr>
  </w:style>
  <w:style w:type="paragraph" w:styleId="9">
    <w:name w:val="footnote text"/>
    <w:link w:val="17"/>
    <w:semiHidden/>
    <w:unhideWhenUsed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</w:rPr>
  </w:style>
  <w:style w:type="paragraph" w:styleId="10">
    <w:name w:val="Title"/>
    <w:qFormat/>
    <w:uiPriority w:val="0"/>
    <w:rPr>
      <w:rFonts w:ascii="Times New Roman" w:hAnsi="Times New Roman" w:eastAsia="Times New Roman" w:cs="Times New Roman"/>
      <w:sz w:val="56"/>
      <w:szCs w:val="56"/>
    </w:rPr>
  </w:style>
  <w:style w:type="character" w:styleId="13">
    <w:name w:val="endnote reference"/>
    <w:semiHidden/>
    <w:unhideWhenUsed/>
    <w:uiPriority w:val="99"/>
    <w:rPr>
      <w:vertAlign w:val="superscript"/>
    </w:rPr>
  </w:style>
  <w:style w:type="character" w:styleId="14">
    <w:name w:val="Hyperlink"/>
    <w:unhideWhenUsed/>
    <w:uiPriority w:val="99"/>
    <w:rPr>
      <w:color w:val="0563C1"/>
      <w:u w:val="single"/>
    </w:rPr>
  </w:style>
  <w:style w:type="character" w:styleId="15">
    <w:name w:val="footnote reference"/>
    <w:semiHidden/>
    <w:unhideWhenUsed/>
    <w:uiPriority w:val="99"/>
    <w:rPr>
      <w:vertAlign w:val="superscript"/>
    </w:rPr>
  </w:style>
  <w:style w:type="paragraph" w:styleId="16">
    <w:name w:val="List Paragraph"/>
    <w:qFormat/>
    <w:uiPriority w:val="0"/>
    <w:rPr>
      <w:rFonts w:ascii="Times New Roman" w:hAnsi="Times New Roman" w:eastAsia="Times New Roman" w:cs="Times New Roman"/>
      <w:sz w:val="20"/>
      <w:szCs w:val="20"/>
    </w:rPr>
  </w:style>
  <w:style w:type="character" w:customStyle="1" w:styleId="17">
    <w:name w:val="Footnote Text Char"/>
    <w:link w:val="9"/>
    <w:semiHidden/>
    <w:unhideWhenUsed/>
    <w:uiPriority w:val="99"/>
    <w:rPr>
      <w:sz w:val="20"/>
      <w:szCs w:val="20"/>
    </w:rPr>
  </w:style>
  <w:style w:type="character" w:customStyle="1" w:styleId="18">
    <w:name w:val="Endnote Text Char"/>
    <w:link w:val="8"/>
    <w:semiHidden/>
    <w:unhideWhenUsed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TotalTime>207</TotalTime>
  <ScaleCrop>false</ScaleCrop>
  <LinksUpToDate>false</LinksUpToDate>
  <Application>WPS Office_12.1.25205.25205_F1E327BC-269C-435d-A152-05C5408002CA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2026-07-19T19:37:00Z</dcterms:created>
  <dc:creator>Un-named</dc:creator>
  <cp:lastModifiedBy>Zan</cp:lastModifiedBy>
  <dcterms:modified xsi:type="dcterms:W3CDTF">2026-07-19T20:57:48Z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2052-12.1.25205.25205</vt:lpwstr>
  </property>
  <property fmtid="{D5CDD505-2E9C-101B-9397-08002B2CF9AE}" pid="3" name="ICV">
    <vt:lpwstr>4CEBFC1E21C0C4C8CCC95C6A22509344_43</vt:lpwstr>
  </property>
</Properties>
</file>