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91956"/>
    <w:p w14:paraId="14000018">
      <w:pPr>
        <w:pStyle w:val="2"/>
        <w:keepNext w:val="0"/>
        <w:keepLines w:val="0"/>
        <w:widowControl/>
        <w:suppressLineNumbers w:val="0"/>
      </w:pPr>
      <w:r>
        <w:rPr>
          <w:rStyle w:val="5"/>
          <w:rFonts w:hint="default" w:ascii="Times New Roman" w:hAnsi="Times New Roman" w:cs="Times New Roman"/>
        </w:rPr>
        <w:t xml:space="preserve">Table </w:t>
      </w:r>
      <w:r>
        <w:rPr>
          <w:rStyle w:val="5"/>
          <w:rFonts w:hint="eastAsia" w:ascii="Times New Roman" w:hAnsi="Times New Roman" w:cs="Times New Roman"/>
          <w:lang w:val="en-US" w:eastAsia="zh-CN"/>
        </w:rPr>
        <w:t>4</w:t>
      </w:r>
      <w:r>
        <w:rPr>
          <w:rStyle w:val="5"/>
          <w:rFonts w:hint="default" w:ascii="Times New Roman" w:hAnsi="Times New Roman" w:cs="Times New Roman"/>
        </w:rPr>
        <w:t>. Subgroup analyses of the association between</w:t>
      </w:r>
      <w:r>
        <w:rPr>
          <w:rStyle w:val="5"/>
          <w:rFonts w:hint="default" w:ascii="Times New Roman" w:hAnsi="Times New Roman" w:cs="Times New Roman"/>
          <w:highlight w:val="none"/>
        </w:rPr>
        <w:t xml:space="preserve"> mechanical power a</w:t>
      </w:r>
      <w:r>
        <w:rPr>
          <w:rStyle w:val="5"/>
          <w:rFonts w:hint="default" w:ascii="Times New Roman" w:hAnsi="Times New Roman" w:cs="Times New Roman"/>
        </w:rPr>
        <w:t>nd 28-day mortality</w:t>
      </w:r>
      <w:r>
        <w:rPr>
          <w:rStyle w:val="5"/>
          <w:rFonts w:hint="eastAsia" w:ascii="Times New Roman" w:hAnsi="Times New Roman" w:cs="Times New Roman"/>
          <w:lang w:val="en-US" w:eastAsia="zh-CN"/>
        </w:rPr>
        <w:t>.</w:t>
      </w:r>
    </w:p>
    <w:tbl>
      <w:tblPr>
        <w:tblStyle w:val="3"/>
        <w:tblW w:w="5000" w:type="pct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794"/>
        <w:gridCol w:w="1179"/>
        <w:gridCol w:w="1938"/>
        <w:gridCol w:w="1455"/>
        <w:gridCol w:w="2052"/>
      </w:tblGrid>
      <w:tr w14:paraId="59A9EC9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bottom w:val="single" w:color="000000" w:themeColor="text1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3F9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Subgroup</w:t>
            </w:r>
          </w:p>
        </w:tc>
        <w:tc>
          <w:tcPr>
            <w:tcW w:w="465" w:type="pct"/>
            <w:tcBorders>
              <w:bottom w:val="single" w:color="000000" w:themeColor="text1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086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n.total</w:t>
            </w:r>
          </w:p>
        </w:tc>
        <w:tc>
          <w:tcPr>
            <w:tcW w:w="691" w:type="pct"/>
            <w:tcBorders>
              <w:bottom w:val="single" w:color="000000" w:themeColor="text1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74C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n.event_%</w:t>
            </w:r>
          </w:p>
        </w:tc>
        <w:tc>
          <w:tcPr>
            <w:tcW w:w="1137" w:type="pct"/>
            <w:tcBorders>
              <w:bottom w:val="single" w:color="000000" w:themeColor="text1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C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CI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853" w:type="pct"/>
            <w:tcBorders>
              <w:bottom w:val="single" w:color="000000" w:themeColor="text1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7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value</w:t>
            </w:r>
          </w:p>
        </w:tc>
        <w:tc>
          <w:tcPr>
            <w:tcW w:w="1203" w:type="pct"/>
            <w:tcBorders>
              <w:bottom w:val="single" w:color="000000" w:themeColor="text1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7B3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interaction</w:t>
            </w:r>
          </w:p>
        </w:tc>
      </w:tr>
      <w:tr w14:paraId="3D81B88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op w:val="single" w:color="000000" w:themeColor="text1" w:sz="4" w:space="0"/>
            </w:tcBorders>
            <w:shd w:val="clear" w:color="auto" w:fill="auto"/>
            <w:noWrap/>
            <w:vAlign w:val="center"/>
          </w:tcPr>
          <w:p w14:paraId="451C7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465" w:type="pct"/>
            <w:tcBorders>
              <w:top w:val="single" w:color="000000" w:themeColor="text1" w:sz="4" w:space="0"/>
            </w:tcBorders>
            <w:shd w:val="clear" w:color="auto" w:fill="auto"/>
            <w:noWrap/>
            <w:vAlign w:val="center"/>
          </w:tcPr>
          <w:p w14:paraId="4B7019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91" w:type="pct"/>
            <w:tcBorders>
              <w:top w:val="single" w:color="000000" w:themeColor="text1" w:sz="4" w:space="0"/>
            </w:tcBorders>
            <w:shd w:val="clear" w:color="auto" w:fill="auto"/>
            <w:noWrap/>
            <w:vAlign w:val="center"/>
          </w:tcPr>
          <w:p w14:paraId="657F6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7" w:type="pct"/>
            <w:tcBorders>
              <w:top w:val="single" w:color="000000" w:themeColor="text1" w:sz="4" w:space="0"/>
            </w:tcBorders>
            <w:shd w:val="clear" w:color="auto" w:fill="auto"/>
            <w:noWrap/>
            <w:vAlign w:val="center"/>
          </w:tcPr>
          <w:p w14:paraId="62D8B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3" w:type="pct"/>
            <w:tcBorders>
              <w:top w:val="single" w:color="000000" w:themeColor="text1" w:sz="4" w:space="0"/>
            </w:tcBorders>
            <w:shd w:val="clear" w:color="auto" w:fill="auto"/>
            <w:noWrap/>
            <w:vAlign w:val="center"/>
          </w:tcPr>
          <w:p w14:paraId="5E4DCD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3" w:type="pct"/>
            <w:tcBorders>
              <w:top w:val="single" w:color="000000" w:themeColor="text1" w:sz="4" w:space="0"/>
            </w:tcBorders>
            <w:shd w:val="clear" w:color="auto" w:fill="auto"/>
            <w:noWrap/>
            <w:vAlign w:val="center"/>
          </w:tcPr>
          <w:p w14:paraId="1CEF54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530BC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D35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CE4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702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 (7.1)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851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 (0.97~1.23)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910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0.149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E4A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</w:tc>
      </w:tr>
      <w:tr w14:paraId="1A82F6F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9F36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F8E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568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209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 (3.5)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AFE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 (1.21~1.52)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933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AC6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7BAA6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13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447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A7A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EDC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FBB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74A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0D43CF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32A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283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E43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 (4.4)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7B9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 (1.04~1.44)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069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466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</w:t>
            </w:r>
          </w:p>
        </w:tc>
      </w:tr>
      <w:tr w14:paraId="0737BB2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C3D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67F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635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497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 (5.2)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F66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 (1.07~1.28)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75E5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CDD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C7BFC7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BD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GCS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D01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09A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38A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030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A15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F6B400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F17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&lt;8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0B6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513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 (12)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55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 (0.94~1.16)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F9A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0.429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888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20201DC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BD1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≥8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D2D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684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A1A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 (2.2)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8F1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 (1.3~1.71)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622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9E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ACB1CD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B2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PF Ratio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4E5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231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EBF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24C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922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2B5D3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684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&lt;100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B7C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533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 (17.2)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B8E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 (1.06~1.43)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2F9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50A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0.324</w:t>
            </w:r>
          </w:p>
        </w:tc>
      </w:tr>
      <w:tr w14:paraId="23A2A0D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6B1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093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6FF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 (5)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6B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1.13 (0.98~1.31)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C4B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0.103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E91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047F2D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CAF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≥200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AF7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538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 (1.9)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635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 (1.13~1.95)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69C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4C2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D80E2D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B5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Vt/PBW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760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DF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72E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073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A37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669C1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5C5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&lt;8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28E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4C4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 (5.5)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EC6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 (1.03~1.32)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73F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1CA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0.321</w:t>
            </w:r>
          </w:p>
        </w:tc>
      </w:tr>
      <w:tr w14:paraId="1353A0D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76A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&gt;=8</w:t>
            </w:r>
          </w:p>
        </w:tc>
        <w:tc>
          <w:tcPr>
            <w:tcW w:w="4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F54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  <w:tc>
          <w:tcPr>
            <w:tcW w:w="6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F00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 (4.5)</w:t>
            </w:r>
          </w:p>
        </w:tc>
        <w:tc>
          <w:tcPr>
            <w:tcW w:w="113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0FE5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 (1.1~1.37)</w:t>
            </w:r>
          </w:p>
        </w:tc>
        <w:tc>
          <w:tcPr>
            <w:tcW w:w="8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DE4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0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7268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CE10004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Hazard ratios (HRs) and 95% confidence intervals (CIs) were estimated using multivariable Cox proportional hazards regression models. The exposure variable, </w:t>
      </w:r>
      <w:r>
        <w:rPr>
          <w:rStyle w:val="5"/>
          <w:rFonts w:hint="default" w:ascii="Times New Roman" w:hAnsi="Times New Roman" w:cs="Times New Roman"/>
          <w:b w:val="0"/>
          <w:bCs/>
        </w:rPr>
        <w:t xml:space="preserve"> mechanical power </w:t>
      </w:r>
      <w:r>
        <w:rPr>
          <w:rFonts w:hint="default" w:ascii="Times New Roman" w:hAnsi="Times New Roman" w:cs="Times New Roman"/>
          <w:b w:val="0"/>
          <w:bCs/>
        </w:rPr>
        <w:t xml:space="preserve">, </w:t>
      </w:r>
      <w:r>
        <w:rPr>
          <w:rFonts w:hint="default" w:ascii="Times New Roman" w:hAnsi="Times New Roman" w:cs="Times New Roman"/>
        </w:rPr>
        <w:t>was analysed as a continuous variable</w:t>
      </w:r>
      <w:r>
        <w:rPr>
          <w:rFonts w:hint="default" w:ascii="Times New Roman" w:hAnsi="Times New Roman" w:cs="Times New Roman"/>
          <w:b w:val="0"/>
          <w:bCs/>
        </w:rPr>
        <w:t xml:space="preserve">. </w:t>
      </w:r>
      <w:r>
        <w:rPr>
          <w:rFonts w:hint="default" w:ascii="Times New Roman" w:hAnsi="Times New Roman" w:cs="Times New Roman"/>
        </w:rPr>
        <w:t>All subgroup analyses were adjusted for the same covariates as in the fully adjusted model, except for the stratification variable itself.</w:t>
      </w:r>
    </w:p>
    <w:p w14:paraId="6C026B16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Adjusted covariates included sex, age, height, weight, Glasgow Coma Scale score, Sequential Organ Failure Assessment score, comorbidities (hypertension, myocardial infarction, cerebrovascular disease, chronic pulmonary disease,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cute kidney injury</w:t>
      </w:r>
      <w:r>
        <w:rPr>
          <w:rFonts w:hint="default" w:ascii="Times New Roman" w:hAnsi="Times New Roman" w:cs="Times New Roman"/>
        </w:rPr>
        <w:t xml:space="preserve">, 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diabetes, heart failure, </w:t>
      </w:r>
      <w:r>
        <w:rPr>
          <w:rFonts w:hint="eastAsia" w:ascii="Times New Roman" w:hAnsi="Times New Roman" w:eastAsia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and 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 w:eastAsia="zh-CN"/>
          <w14:ligatures w14:val="none"/>
        </w:rPr>
        <w:t>chronic liver disease</w:t>
      </w:r>
      <w:r>
        <w:rPr>
          <w:rFonts w:hint="eastAsia" w:ascii="Times New Roman" w:hAnsi="Times New Roman" w:cs="Times New Roman"/>
          <w:lang w:val="en-US" w:eastAsia="zh-CN"/>
        </w:rPr>
        <w:t>)</w:t>
      </w:r>
      <w:r>
        <w:rPr>
          <w:rFonts w:hint="default" w:ascii="Times New Roman" w:hAnsi="Times New Roman" w:cs="Times New Roman"/>
        </w:rPr>
        <w:t>.</w:t>
      </w:r>
      <w:r>
        <w:rPr>
          <w:rStyle w:val="6"/>
          <w:rFonts w:hint="default" w:ascii="Times New Roman" w:hAnsi="Times New Roman" w:cs="Times New Roman"/>
        </w:rPr>
        <w:t>P</w:t>
      </w:r>
      <w:r>
        <w:rPr>
          <w:rFonts w:hint="default" w:ascii="Times New Roman" w:hAnsi="Times New Roman" w:cs="Times New Roman"/>
        </w:rPr>
        <w:t xml:space="preserve"> values for interaction were calculated by including a multiplicative interaction term between MP and the corresponding subgroup variable in the fully adjusted model. A two-sided </w:t>
      </w:r>
      <w:r>
        <w:rPr>
          <w:rStyle w:val="6"/>
          <w:rFonts w:hint="default" w:ascii="Times New Roman" w:hAnsi="Times New Roman" w:cs="Times New Roman"/>
        </w:rPr>
        <w:t>p</w:t>
      </w:r>
      <w:r>
        <w:rPr>
          <w:rFonts w:hint="default" w:ascii="Times New Roman" w:hAnsi="Times New Roman" w:cs="Times New Roman"/>
        </w:rPr>
        <w:t xml:space="preserve"> value &lt;0.05 was considered statistically significant.</w:t>
      </w:r>
    </w:p>
    <w:p w14:paraId="1F63059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33A0D"/>
    <w:rsid w:val="043062D4"/>
    <w:rsid w:val="055661F0"/>
    <w:rsid w:val="07F07215"/>
    <w:rsid w:val="0D553231"/>
    <w:rsid w:val="228032DB"/>
    <w:rsid w:val="26661BB3"/>
    <w:rsid w:val="2B6317A5"/>
    <w:rsid w:val="30204B81"/>
    <w:rsid w:val="361C228F"/>
    <w:rsid w:val="372A52E4"/>
    <w:rsid w:val="3C54014D"/>
    <w:rsid w:val="41283C3B"/>
    <w:rsid w:val="41456B3D"/>
    <w:rsid w:val="47A83982"/>
    <w:rsid w:val="47B16CDB"/>
    <w:rsid w:val="4B0F73DE"/>
    <w:rsid w:val="4DB32533"/>
    <w:rsid w:val="567C4958"/>
    <w:rsid w:val="5A906A5A"/>
    <w:rsid w:val="5AFD258C"/>
    <w:rsid w:val="61631928"/>
    <w:rsid w:val="61A37A9A"/>
    <w:rsid w:val="62FA0AFC"/>
    <w:rsid w:val="64D50D43"/>
    <w:rsid w:val="67F052D9"/>
    <w:rsid w:val="693821A9"/>
    <w:rsid w:val="79B8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1317</Characters>
  <Lines>0</Lines>
  <Paragraphs>0</Paragraphs>
  <TotalTime>0</TotalTime>
  <ScaleCrop>false</ScaleCrop>
  <LinksUpToDate>false</LinksUpToDate>
  <CharactersWithSpaces>1470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2026-03-01T12:31:00Z</dcterms:created>
  <dc:creator>wangm</dc:creator>
  <cp:lastModifiedBy>wang</cp:lastModifiedBy>
  <dcterms:modified xsi:type="dcterms:W3CDTF">2026-07-24T15:25:21Z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eyJoZGlkIjoiMzEwNTM5NzYwMDRjMzkwZTVkZjY2ODkwMGIxNGU0OTUiLCJ1c2VySWQiOiIyOTY0NDcyMTAifQ==</vt:lpwstr>
  </property>
  <property fmtid="{D5CDD505-2E9C-101B-9397-08002B2CF9AE}" pid="4" name="ICV">
    <vt:lpwstr>1C20AA92F1EC43DB9E0B5B04A7DC365B_12</vt:lpwstr>
  </property>
</Properties>
</file>