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81C" w:rsidRPr="00E92B23" w:rsidRDefault="00D0581C" w:rsidP="00D0581C">
      <w:pPr>
        <w:spacing w:beforeLines="100" w:before="240" w:after="0" w:line="360" w:lineRule="auto"/>
        <w:jc w:val="both"/>
        <w:rPr>
          <w:rFonts w:cs="Times New Roman"/>
          <w:b/>
          <w:bCs/>
        </w:rPr>
      </w:pPr>
      <w:bookmarkStart w:id="0" w:name="OLE_LINK70"/>
      <w:proofErr w:type="gramStart"/>
      <w:r w:rsidRPr="00E92B23">
        <w:rPr>
          <w:rFonts w:cs="Times New Roman"/>
          <w:b/>
          <w:bCs/>
        </w:rPr>
        <w:t>Supplementary Table 1.</w:t>
      </w:r>
      <w:bookmarkEnd w:id="0"/>
      <w:proofErr w:type="gramEnd"/>
      <w:r w:rsidRPr="00E92B23">
        <w:rPr>
          <w:rFonts w:cs="Times New Roman"/>
          <w:b/>
          <w:bCs/>
        </w:rPr>
        <w:t xml:space="preserve"> Baseline and perioperative characteristics according to the NIV escalation status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9"/>
        <w:gridCol w:w="2791"/>
        <w:gridCol w:w="2576"/>
      </w:tblGrid>
      <w:tr w:rsidR="00D0581C" w:rsidRPr="00E92B23" w:rsidTr="00CE4685">
        <w:trPr>
          <w:trHeight w:val="340"/>
        </w:trPr>
        <w:tc>
          <w:tcPr>
            <w:tcW w:w="2197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Variables</w:t>
            </w:r>
          </w:p>
        </w:tc>
        <w:tc>
          <w:tcPr>
            <w:tcW w:w="1457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Non-escalated NIV Group (n=88)</w:t>
            </w:r>
          </w:p>
        </w:tc>
        <w:tc>
          <w:tcPr>
            <w:tcW w:w="1345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Escalated NIV Group (n=32)</w:t>
            </w:r>
          </w:p>
        </w:tc>
      </w:tr>
      <w:tr w:rsidR="00D0581C" w:rsidRPr="00E92B23" w:rsidTr="00CE4685">
        <w:trPr>
          <w:trHeight w:val="340"/>
        </w:trPr>
        <w:tc>
          <w:tcPr>
            <w:tcW w:w="2197" w:type="pct"/>
            <w:tcBorders>
              <w:top w:val="single" w:sz="6" w:space="0" w:color="auto"/>
            </w:tcBorders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Age, years, median (IQR)</w:t>
            </w:r>
          </w:p>
        </w:tc>
        <w:tc>
          <w:tcPr>
            <w:tcW w:w="1457" w:type="pct"/>
            <w:tcBorders>
              <w:top w:val="single" w:sz="6" w:space="0" w:color="auto"/>
            </w:tcBorders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62.0 (56.3–68.0)</w:t>
            </w:r>
          </w:p>
        </w:tc>
        <w:tc>
          <w:tcPr>
            <w:tcW w:w="1345" w:type="pct"/>
            <w:tcBorders>
              <w:top w:val="single" w:sz="6" w:space="0" w:color="auto"/>
            </w:tcBorders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68.5 (59.3–71.0)</w:t>
            </w:r>
          </w:p>
        </w:tc>
      </w:tr>
      <w:tr w:rsidR="00D0581C" w:rsidRPr="00E92B23" w:rsidTr="00CE4685">
        <w:trPr>
          <w:trHeight w:val="340"/>
        </w:trPr>
        <w:tc>
          <w:tcPr>
            <w:tcW w:w="219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BMI, kg/m², median (IQR)</w:t>
            </w:r>
          </w:p>
        </w:tc>
        <w:tc>
          <w:tcPr>
            <w:tcW w:w="145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25.7 (23.8–28.6)</w:t>
            </w:r>
          </w:p>
        </w:tc>
        <w:tc>
          <w:tcPr>
            <w:tcW w:w="1345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25.1 (22.9–28.7)</w:t>
            </w:r>
          </w:p>
        </w:tc>
      </w:tr>
      <w:tr w:rsidR="00D0581C" w:rsidRPr="00E92B23" w:rsidTr="00CE4685">
        <w:trPr>
          <w:trHeight w:val="340"/>
        </w:trPr>
        <w:tc>
          <w:tcPr>
            <w:tcW w:w="219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Male sex, n (%)</w:t>
            </w:r>
          </w:p>
        </w:tc>
        <w:tc>
          <w:tcPr>
            <w:tcW w:w="145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57 (64.8)</w:t>
            </w:r>
          </w:p>
        </w:tc>
        <w:tc>
          <w:tcPr>
            <w:tcW w:w="1345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24 (75.0)</w:t>
            </w:r>
          </w:p>
        </w:tc>
      </w:tr>
      <w:tr w:rsidR="00D0581C" w:rsidRPr="00E92B23" w:rsidTr="00CE4685">
        <w:trPr>
          <w:trHeight w:val="340"/>
        </w:trPr>
        <w:tc>
          <w:tcPr>
            <w:tcW w:w="219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Hypertension, n (%)</w:t>
            </w:r>
          </w:p>
        </w:tc>
        <w:tc>
          <w:tcPr>
            <w:tcW w:w="145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48 (54.5)</w:t>
            </w:r>
          </w:p>
        </w:tc>
        <w:tc>
          <w:tcPr>
            <w:tcW w:w="1345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17 (53.1)</w:t>
            </w:r>
          </w:p>
        </w:tc>
      </w:tr>
      <w:tr w:rsidR="00D0581C" w:rsidRPr="00E92B23" w:rsidTr="00CE4685">
        <w:trPr>
          <w:trHeight w:val="340"/>
        </w:trPr>
        <w:tc>
          <w:tcPr>
            <w:tcW w:w="219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Diabetes mellitus</w:t>
            </w:r>
            <w:bookmarkStart w:id="1" w:name="OLE_LINK7"/>
            <w:r w:rsidRPr="00E92B23">
              <w:rPr>
                <w:rFonts w:cs="Times New Roman"/>
              </w:rPr>
              <w:t>, n (%)</w:t>
            </w:r>
            <w:bookmarkEnd w:id="1"/>
          </w:p>
        </w:tc>
        <w:tc>
          <w:tcPr>
            <w:tcW w:w="145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36 (40.9)</w:t>
            </w:r>
          </w:p>
        </w:tc>
        <w:tc>
          <w:tcPr>
            <w:tcW w:w="1345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9 (28.1)</w:t>
            </w:r>
          </w:p>
        </w:tc>
      </w:tr>
      <w:tr w:rsidR="00D0581C" w:rsidRPr="00E92B23" w:rsidTr="00CE4685">
        <w:trPr>
          <w:trHeight w:val="340"/>
        </w:trPr>
        <w:tc>
          <w:tcPr>
            <w:tcW w:w="219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bookmarkStart w:id="2" w:name="OLE_LINK26"/>
            <w:r w:rsidRPr="00E92B23">
              <w:rPr>
                <w:rFonts w:cs="Times New Roman"/>
              </w:rPr>
              <w:t>Coronary artery disease</w:t>
            </w:r>
            <w:bookmarkEnd w:id="2"/>
            <w:r w:rsidRPr="00E92B23">
              <w:rPr>
                <w:rFonts w:cs="Times New Roman"/>
              </w:rPr>
              <w:t>, n (%)</w:t>
            </w:r>
          </w:p>
        </w:tc>
        <w:tc>
          <w:tcPr>
            <w:tcW w:w="145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39 (44.3)</w:t>
            </w:r>
          </w:p>
        </w:tc>
        <w:tc>
          <w:tcPr>
            <w:tcW w:w="1345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16 (50.0)</w:t>
            </w:r>
          </w:p>
        </w:tc>
      </w:tr>
      <w:tr w:rsidR="00D0581C" w:rsidRPr="00E92B23" w:rsidTr="00CE4685">
        <w:trPr>
          <w:trHeight w:val="340"/>
        </w:trPr>
        <w:tc>
          <w:tcPr>
            <w:tcW w:w="219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Hyperlipidemia, n (%)</w:t>
            </w:r>
          </w:p>
        </w:tc>
        <w:tc>
          <w:tcPr>
            <w:tcW w:w="145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36 (40.9)</w:t>
            </w:r>
          </w:p>
        </w:tc>
        <w:tc>
          <w:tcPr>
            <w:tcW w:w="1345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12 (37.5)</w:t>
            </w:r>
          </w:p>
        </w:tc>
      </w:tr>
      <w:tr w:rsidR="00D0581C" w:rsidRPr="00E92B23" w:rsidTr="00CE4685">
        <w:trPr>
          <w:trHeight w:val="340"/>
        </w:trPr>
        <w:tc>
          <w:tcPr>
            <w:tcW w:w="219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6465C5">
              <w:rPr>
                <w:rFonts w:cs="Times New Roman"/>
              </w:rPr>
              <w:t>History of stroke</w:t>
            </w:r>
            <w:r w:rsidRPr="00E92B23">
              <w:rPr>
                <w:rFonts w:cs="Times New Roman"/>
              </w:rPr>
              <w:t>, n (%)</w:t>
            </w:r>
          </w:p>
        </w:tc>
        <w:tc>
          <w:tcPr>
            <w:tcW w:w="145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47 (53.4)</w:t>
            </w:r>
          </w:p>
        </w:tc>
        <w:tc>
          <w:tcPr>
            <w:tcW w:w="1345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13 (40.6)</w:t>
            </w:r>
          </w:p>
        </w:tc>
      </w:tr>
      <w:tr w:rsidR="00D0581C" w:rsidRPr="00E92B23" w:rsidTr="00CE4685">
        <w:trPr>
          <w:trHeight w:val="340"/>
        </w:trPr>
        <w:tc>
          <w:tcPr>
            <w:tcW w:w="219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 xml:space="preserve">Preoperative </w:t>
            </w:r>
            <w:proofErr w:type="spellStart"/>
            <w:r w:rsidRPr="00E92B23">
              <w:rPr>
                <w:rFonts w:cs="Times New Roman"/>
              </w:rPr>
              <w:t>P</w:t>
            </w:r>
            <w:r>
              <w:rPr>
                <w:rFonts w:eastAsiaTheme="minorEastAsia" w:cs="Times New Roman" w:hint="eastAsia"/>
              </w:rPr>
              <w:t>a</w:t>
            </w:r>
            <w:r w:rsidRPr="00E92B23">
              <w:rPr>
                <w:rFonts w:cs="Times New Roman"/>
              </w:rPr>
              <w:t>O</w:t>
            </w:r>
            <w:proofErr w:type="spellEnd"/>
            <w:r w:rsidRPr="00E92B23">
              <w:rPr>
                <w:rFonts w:cs="Times New Roman"/>
              </w:rPr>
              <w:t>₂, mmHg, median (IQR)</w:t>
            </w:r>
          </w:p>
        </w:tc>
        <w:tc>
          <w:tcPr>
            <w:tcW w:w="145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85.0 (80.0–95.0)</w:t>
            </w:r>
          </w:p>
        </w:tc>
        <w:tc>
          <w:tcPr>
            <w:tcW w:w="1345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86.0 (78.5–101.8)</w:t>
            </w:r>
          </w:p>
        </w:tc>
      </w:tr>
      <w:tr w:rsidR="00D0581C" w:rsidRPr="00E92B23" w:rsidTr="00CE4685">
        <w:trPr>
          <w:trHeight w:val="340"/>
        </w:trPr>
        <w:tc>
          <w:tcPr>
            <w:tcW w:w="219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ASA classification, n (%)</w:t>
            </w:r>
          </w:p>
        </w:tc>
        <w:tc>
          <w:tcPr>
            <w:tcW w:w="145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1345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</w:tr>
      <w:tr w:rsidR="00D0581C" w:rsidRPr="00E92B23" w:rsidTr="00CE4685">
        <w:trPr>
          <w:trHeight w:val="340"/>
        </w:trPr>
        <w:tc>
          <w:tcPr>
            <w:tcW w:w="219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&lt; III</w:t>
            </w:r>
          </w:p>
        </w:tc>
        <w:tc>
          <w:tcPr>
            <w:tcW w:w="145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1 (1.3)</w:t>
            </w:r>
          </w:p>
        </w:tc>
        <w:tc>
          <w:tcPr>
            <w:tcW w:w="1345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2 (6.3)</w:t>
            </w:r>
          </w:p>
        </w:tc>
      </w:tr>
      <w:tr w:rsidR="00D0581C" w:rsidRPr="00E92B23" w:rsidTr="00CE4685">
        <w:trPr>
          <w:trHeight w:val="340"/>
        </w:trPr>
        <w:tc>
          <w:tcPr>
            <w:tcW w:w="219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≥ III</w:t>
            </w:r>
          </w:p>
        </w:tc>
        <w:tc>
          <w:tcPr>
            <w:tcW w:w="145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87 (98.7)</w:t>
            </w:r>
          </w:p>
        </w:tc>
        <w:tc>
          <w:tcPr>
            <w:tcW w:w="1345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30 (93.7)</w:t>
            </w:r>
          </w:p>
        </w:tc>
      </w:tr>
      <w:tr w:rsidR="00D0581C" w:rsidRPr="00E92B23" w:rsidTr="00CE4685">
        <w:trPr>
          <w:trHeight w:val="340"/>
        </w:trPr>
        <w:tc>
          <w:tcPr>
            <w:tcW w:w="219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NYHA class, n (%)</w:t>
            </w:r>
          </w:p>
        </w:tc>
        <w:tc>
          <w:tcPr>
            <w:tcW w:w="145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1345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</w:tr>
      <w:tr w:rsidR="00D0581C" w:rsidRPr="00E92B23" w:rsidTr="00CE4685">
        <w:trPr>
          <w:trHeight w:val="340"/>
        </w:trPr>
        <w:tc>
          <w:tcPr>
            <w:tcW w:w="219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&lt; III</w:t>
            </w:r>
          </w:p>
        </w:tc>
        <w:tc>
          <w:tcPr>
            <w:tcW w:w="145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35 (39.8)</w:t>
            </w:r>
          </w:p>
        </w:tc>
        <w:tc>
          <w:tcPr>
            <w:tcW w:w="1345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17 (53.1)</w:t>
            </w:r>
          </w:p>
        </w:tc>
      </w:tr>
      <w:tr w:rsidR="00D0581C" w:rsidRPr="00E92B23" w:rsidTr="00CE4685">
        <w:trPr>
          <w:trHeight w:val="340"/>
        </w:trPr>
        <w:tc>
          <w:tcPr>
            <w:tcW w:w="219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≥ III</w:t>
            </w:r>
          </w:p>
        </w:tc>
        <w:tc>
          <w:tcPr>
            <w:tcW w:w="145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53 (60.2)</w:t>
            </w:r>
          </w:p>
        </w:tc>
        <w:tc>
          <w:tcPr>
            <w:tcW w:w="1345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15 (46.9)</w:t>
            </w:r>
          </w:p>
        </w:tc>
      </w:tr>
      <w:tr w:rsidR="00D0581C" w:rsidRPr="00E92B23" w:rsidTr="00CE4685">
        <w:trPr>
          <w:trHeight w:val="340"/>
        </w:trPr>
        <w:tc>
          <w:tcPr>
            <w:tcW w:w="219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APACHE II score, median (IQR)</w:t>
            </w:r>
          </w:p>
        </w:tc>
        <w:tc>
          <w:tcPr>
            <w:tcW w:w="145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6.0 (3.3–8.0)</w:t>
            </w:r>
          </w:p>
        </w:tc>
        <w:tc>
          <w:tcPr>
            <w:tcW w:w="1345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5.0 (4.0–9.8)</w:t>
            </w:r>
          </w:p>
        </w:tc>
      </w:tr>
      <w:tr w:rsidR="00D0581C" w:rsidRPr="00E92B23" w:rsidTr="00CE4685">
        <w:trPr>
          <w:trHeight w:val="340"/>
        </w:trPr>
        <w:tc>
          <w:tcPr>
            <w:tcW w:w="219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Surgical type, n (%)</w:t>
            </w:r>
          </w:p>
        </w:tc>
        <w:tc>
          <w:tcPr>
            <w:tcW w:w="145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1345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</w:tr>
      <w:tr w:rsidR="00D0581C" w:rsidRPr="00E92B23" w:rsidTr="00CE4685">
        <w:trPr>
          <w:trHeight w:val="340"/>
        </w:trPr>
        <w:tc>
          <w:tcPr>
            <w:tcW w:w="219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Off-pump CABG</w:t>
            </w:r>
          </w:p>
        </w:tc>
        <w:tc>
          <w:tcPr>
            <w:tcW w:w="145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43 (48.9)</w:t>
            </w:r>
          </w:p>
        </w:tc>
        <w:tc>
          <w:tcPr>
            <w:tcW w:w="1345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20 (62.5)</w:t>
            </w:r>
          </w:p>
        </w:tc>
      </w:tr>
      <w:tr w:rsidR="00D0581C" w:rsidRPr="00E92B23" w:rsidTr="00CE4685">
        <w:trPr>
          <w:trHeight w:val="340"/>
        </w:trPr>
        <w:tc>
          <w:tcPr>
            <w:tcW w:w="219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Valve surgery</w:t>
            </w:r>
          </w:p>
        </w:tc>
        <w:tc>
          <w:tcPr>
            <w:tcW w:w="145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24 (27.3)</w:t>
            </w:r>
          </w:p>
        </w:tc>
        <w:tc>
          <w:tcPr>
            <w:tcW w:w="1345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4 (12.5)</w:t>
            </w:r>
          </w:p>
        </w:tc>
      </w:tr>
      <w:tr w:rsidR="00D0581C" w:rsidRPr="00E92B23" w:rsidTr="00CE4685">
        <w:trPr>
          <w:trHeight w:val="340"/>
        </w:trPr>
        <w:tc>
          <w:tcPr>
            <w:tcW w:w="219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CABG + Valve surgery</w:t>
            </w:r>
          </w:p>
        </w:tc>
        <w:tc>
          <w:tcPr>
            <w:tcW w:w="145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12 (13.6)</w:t>
            </w:r>
          </w:p>
        </w:tc>
        <w:tc>
          <w:tcPr>
            <w:tcW w:w="1345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8 (25.0)</w:t>
            </w:r>
          </w:p>
        </w:tc>
      </w:tr>
      <w:tr w:rsidR="00D0581C" w:rsidRPr="00E92B23" w:rsidTr="00CE4685">
        <w:trPr>
          <w:trHeight w:val="340"/>
        </w:trPr>
        <w:tc>
          <w:tcPr>
            <w:tcW w:w="219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Great vessel surgery</w:t>
            </w:r>
          </w:p>
        </w:tc>
        <w:tc>
          <w:tcPr>
            <w:tcW w:w="145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4 (4.5)</w:t>
            </w:r>
          </w:p>
        </w:tc>
        <w:tc>
          <w:tcPr>
            <w:tcW w:w="1345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0 (0)</w:t>
            </w:r>
          </w:p>
        </w:tc>
      </w:tr>
      <w:tr w:rsidR="00D0581C" w:rsidRPr="00E92B23" w:rsidTr="00CE4685">
        <w:trPr>
          <w:trHeight w:val="340"/>
        </w:trPr>
        <w:tc>
          <w:tcPr>
            <w:tcW w:w="219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LVAD implantation</w:t>
            </w:r>
          </w:p>
        </w:tc>
        <w:tc>
          <w:tcPr>
            <w:tcW w:w="145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4 (4.5)</w:t>
            </w:r>
          </w:p>
        </w:tc>
        <w:tc>
          <w:tcPr>
            <w:tcW w:w="1345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1 (3.1)</w:t>
            </w:r>
          </w:p>
        </w:tc>
      </w:tr>
      <w:tr w:rsidR="00D0581C" w:rsidRPr="00E92B23" w:rsidTr="00CE4685">
        <w:trPr>
          <w:trHeight w:val="340"/>
        </w:trPr>
        <w:tc>
          <w:tcPr>
            <w:tcW w:w="219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Operation time, min, median (IQR)</w:t>
            </w:r>
          </w:p>
        </w:tc>
        <w:tc>
          <w:tcPr>
            <w:tcW w:w="145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265 (220–340)</w:t>
            </w:r>
          </w:p>
        </w:tc>
        <w:tc>
          <w:tcPr>
            <w:tcW w:w="1345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300 (243–360)</w:t>
            </w:r>
          </w:p>
        </w:tc>
      </w:tr>
      <w:tr w:rsidR="00D0581C" w:rsidRPr="00E92B23" w:rsidTr="00CE4685">
        <w:trPr>
          <w:trHeight w:val="340"/>
        </w:trPr>
        <w:tc>
          <w:tcPr>
            <w:tcW w:w="219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Cardiopulmonary bypass time, min, median (IQR)</w:t>
            </w:r>
          </w:p>
        </w:tc>
        <w:tc>
          <w:tcPr>
            <w:tcW w:w="145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80 (0–141)</w:t>
            </w:r>
          </w:p>
        </w:tc>
        <w:tc>
          <w:tcPr>
            <w:tcW w:w="1345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0 (0–144)</w:t>
            </w:r>
          </w:p>
        </w:tc>
      </w:tr>
      <w:tr w:rsidR="00D0581C" w:rsidRPr="00E92B23" w:rsidTr="00CE4685">
        <w:trPr>
          <w:trHeight w:val="340"/>
        </w:trPr>
        <w:tc>
          <w:tcPr>
            <w:tcW w:w="219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Aortic cross-clamp time, min, median (IQR)</w:t>
            </w:r>
          </w:p>
        </w:tc>
        <w:tc>
          <w:tcPr>
            <w:tcW w:w="145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0 (0–85)</w:t>
            </w:r>
          </w:p>
        </w:tc>
        <w:tc>
          <w:tcPr>
            <w:tcW w:w="1345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0 (0–90)</w:t>
            </w:r>
          </w:p>
        </w:tc>
      </w:tr>
      <w:tr w:rsidR="00D0581C" w:rsidRPr="00E92B23" w:rsidTr="00CE4685">
        <w:trPr>
          <w:trHeight w:val="340"/>
        </w:trPr>
        <w:tc>
          <w:tcPr>
            <w:tcW w:w="219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Duration of pre-</w:t>
            </w:r>
            <w:proofErr w:type="spellStart"/>
            <w:r w:rsidRPr="00E92B23">
              <w:rPr>
                <w:rFonts w:cs="Times New Roman"/>
              </w:rPr>
              <w:t>extubation</w:t>
            </w:r>
            <w:proofErr w:type="spellEnd"/>
            <w:r w:rsidRPr="00E92B23">
              <w:rPr>
                <w:rFonts w:cs="Times New Roman"/>
              </w:rPr>
              <w:t xml:space="preserve"> MV, </w:t>
            </w:r>
            <w:r>
              <w:rPr>
                <w:rFonts w:eastAsiaTheme="minorEastAsia" w:cs="Times New Roman" w:hint="eastAsia"/>
              </w:rPr>
              <w:t>d</w:t>
            </w:r>
            <w:r w:rsidRPr="00E92B23">
              <w:rPr>
                <w:rFonts w:cs="Times New Roman"/>
              </w:rPr>
              <w:t>, median (IQR)</w:t>
            </w:r>
          </w:p>
        </w:tc>
        <w:tc>
          <w:tcPr>
            <w:tcW w:w="145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1.9 (1.7–3.0)</w:t>
            </w:r>
          </w:p>
        </w:tc>
        <w:tc>
          <w:tcPr>
            <w:tcW w:w="1345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2.2 (1.8–2.9)</w:t>
            </w:r>
          </w:p>
        </w:tc>
      </w:tr>
      <w:tr w:rsidR="00D0581C" w:rsidRPr="00E92B23" w:rsidTr="00CE4685">
        <w:trPr>
          <w:trHeight w:val="340"/>
        </w:trPr>
        <w:tc>
          <w:tcPr>
            <w:tcW w:w="219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 xml:space="preserve">Blood loss, </w:t>
            </w:r>
            <w:r>
              <w:rPr>
                <w:rFonts w:cs="Times New Roman"/>
              </w:rPr>
              <w:t>mL</w:t>
            </w:r>
            <w:r w:rsidRPr="00E92B23">
              <w:rPr>
                <w:rFonts w:cs="Times New Roman"/>
              </w:rPr>
              <w:t>, median (IQR)</w:t>
            </w:r>
          </w:p>
        </w:tc>
        <w:tc>
          <w:tcPr>
            <w:tcW w:w="145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700 (525–800)</w:t>
            </w:r>
          </w:p>
        </w:tc>
        <w:tc>
          <w:tcPr>
            <w:tcW w:w="1345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600 (500–1000)</w:t>
            </w:r>
          </w:p>
        </w:tc>
      </w:tr>
      <w:tr w:rsidR="00D0581C" w:rsidRPr="00E92B23" w:rsidTr="00CE4685">
        <w:trPr>
          <w:trHeight w:val="340"/>
        </w:trPr>
        <w:tc>
          <w:tcPr>
            <w:tcW w:w="219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 xml:space="preserve">Fluid balance, </w:t>
            </w:r>
            <w:r>
              <w:rPr>
                <w:rFonts w:cs="Times New Roman"/>
              </w:rPr>
              <w:t>mL</w:t>
            </w:r>
            <w:r w:rsidRPr="00E92B23">
              <w:rPr>
                <w:rFonts w:cs="Times New Roman"/>
              </w:rPr>
              <w:t>, median (IQR)</w:t>
            </w:r>
          </w:p>
        </w:tc>
        <w:tc>
          <w:tcPr>
            <w:tcW w:w="1457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100 (−575</w:t>
            </w:r>
            <w:r>
              <w:rPr>
                <w:rFonts w:eastAsiaTheme="minorEastAsia" w:cs="Times New Roman" w:hint="eastAsia"/>
              </w:rPr>
              <w:t xml:space="preserve"> to </w:t>
            </w:r>
            <w:r w:rsidRPr="00E92B23">
              <w:rPr>
                <w:rFonts w:cs="Times New Roman"/>
              </w:rPr>
              <w:t>800)</w:t>
            </w:r>
          </w:p>
        </w:tc>
        <w:tc>
          <w:tcPr>
            <w:tcW w:w="1345" w:type="pct"/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400 (−200</w:t>
            </w:r>
            <w:r>
              <w:rPr>
                <w:rFonts w:eastAsiaTheme="minorEastAsia" w:cs="Times New Roman" w:hint="eastAsia"/>
              </w:rPr>
              <w:t xml:space="preserve"> to </w:t>
            </w:r>
            <w:r w:rsidRPr="00E92B23">
              <w:rPr>
                <w:rFonts w:cs="Times New Roman"/>
              </w:rPr>
              <w:t>1100)</w:t>
            </w:r>
          </w:p>
        </w:tc>
      </w:tr>
      <w:tr w:rsidR="00D0581C" w:rsidRPr="00E92B23" w:rsidTr="00CE4685">
        <w:trPr>
          <w:trHeight w:val="340"/>
        </w:trPr>
        <w:tc>
          <w:tcPr>
            <w:tcW w:w="2197" w:type="pct"/>
            <w:tcBorders>
              <w:bottom w:val="single" w:sz="12" w:space="0" w:color="auto"/>
            </w:tcBorders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LUS, mean ± SD</w:t>
            </w:r>
          </w:p>
        </w:tc>
        <w:tc>
          <w:tcPr>
            <w:tcW w:w="1457" w:type="pct"/>
            <w:tcBorders>
              <w:bottom w:val="single" w:sz="12" w:space="0" w:color="auto"/>
            </w:tcBorders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11.2 ± 3.7</w:t>
            </w:r>
          </w:p>
        </w:tc>
        <w:tc>
          <w:tcPr>
            <w:tcW w:w="1345" w:type="pct"/>
            <w:tcBorders>
              <w:bottom w:val="single" w:sz="12" w:space="0" w:color="auto"/>
            </w:tcBorders>
            <w:vAlign w:val="center"/>
          </w:tcPr>
          <w:p w:rsidR="00D0581C" w:rsidRPr="00E92B23" w:rsidRDefault="00D0581C" w:rsidP="00CE4685">
            <w:pPr>
              <w:spacing w:after="0" w:line="240" w:lineRule="auto"/>
              <w:jc w:val="center"/>
              <w:rPr>
                <w:rFonts w:cs="Times New Roman"/>
              </w:rPr>
            </w:pPr>
            <w:r w:rsidRPr="00E92B23">
              <w:rPr>
                <w:rFonts w:cs="Times New Roman"/>
              </w:rPr>
              <w:t>15.1 ± 3.3</w:t>
            </w:r>
          </w:p>
        </w:tc>
      </w:tr>
    </w:tbl>
    <w:p w:rsidR="00D0581C" w:rsidRDefault="00D0581C" w:rsidP="00D0581C">
      <w:pPr>
        <w:spacing w:after="0" w:line="360" w:lineRule="auto"/>
        <w:jc w:val="both"/>
        <w:rPr>
          <w:rFonts w:eastAsiaTheme="minorEastAsia" w:cs="Times New Roman"/>
        </w:rPr>
      </w:pPr>
      <w:r w:rsidRPr="00E92B23">
        <w:rPr>
          <w:rFonts w:cs="Times New Roman"/>
        </w:rPr>
        <w:t xml:space="preserve">BMI, body mass index; ASA, American Society of Anesthesiologists; NYHA, New York Heart </w:t>
      </w:r>
      <w:r w:rsidRPr="00E92B23">
        <w:rPr>
          <w:rFonts w:cs="Times New Roman"/>
        </w:rPr>
        <w:lastRenderedPageBreak/>
        <w:t>Association; APACHE II, Acute Physiology and Chronic Health Evaluation II; CABG, coronary artery bypass grafting; LVAD, left ventricular assist device; CPB, cardiopulmonary bypass; ACCT, aortic cross-clamp time; MV, mechanical ventilation; LUS, lung ultrasound score.</w:t>
      </w:r>
    </w:p>
    <w:p w:rsidR="00D0581C" w:rsidRDefault="00D0581C" w:rsidP="00D0581C">
      <w:pPr>
        <w:spacing w:after="0"/>
        <w:rPr>
          <w:rFonts w:eastAsiaTheme="minorEastAsia" w:cs="Times New Roman"/>
        </w:rPr>
      </w:pPr>
      <w:proofErr w:type="gramStart"/>
      <w:r w:rsidRPr="00E92B23">
        <w:rPr>
          <w:rFonts w:cs="Times New Roman"/>
          <w:b/>
          <w:bCs/>
        </w:rPr>
        <w:t xml:space="preserve">Supplementary Table </w:t>
      </w:r>
      <w:r>
        <w:rPr>
          <w:rFonts w:eastAsiaTheme="minorEastAsia" w:cs="Times New Roman" w:hint="eastAsia"/>
          <w:b/>
          <w:bCs/>
        </w:rPr>
        <w:t>2</w:t>
      </w:r>
      <w:r w:rsidRPr="00E92B23">
        <w:rPr>
          <w:rFonts w:cs="Times New Roman"/>
          <w:b/>
          <w:bCs/>
        </w:rPr>
        <w:t>.</w:t>
      </w:r>
      <w:proofErr w:type="gramEnd"/>
      <w:r>
        <w:rPr>
          <w:rFonts w:eastAsiaTheme="minorEastAsia" w:cs="Times New Roman" w:hint="eastAsia"/>
          <w:b/>
          <w:bCs/>
        </w:rPr>
        <w:t xml:space="preserve"> </w:t>
      </w:r>
      <w:r w:rsidRPr="00691EA5">
        <w:rPr>
          <w:rFonts w:eastAsiaTheme="minorEastAsia" w:cs="Times New Roman"/>
          <w:b/>
          <w:bCs/>
        </w:rPr>
        <w:t>Sensitivity analyses of the association between pre-</w:t>
      </w:r>
      <w:proofErr w:type="spellStart"/>
      <w:r w:rsidRPr="00691EA5">
        <w:rPr>
          <w:rFonts w:eastAsiaTheme="minorEastAsia" w:cs="Times New Roman"/>
          <w:b/>
          <w:bCs/>
        </w:rPr>
        <w:t>extubation</w:t>
      </w:r>
      <w:proofErr w:type="spellEnd"/>
      <w:r w:rsidRPr="00691EA5">
        <w:rPr>
          <w:rFonts w:eastAsiaTheme="minorEastAsia" w:cs="Times New Roman"/>
          <w:b/>
          <w:bCs/>
        </w:rPr>
        <w:t xml:space="preserve"> LUS and NIV escalation within 48 h after </w:t>
      </w:r>
      <w:proofErr w:type="spellStart"/>
      <w:r w:rsidRPr="00691EA5">
        <w:rPr>
          <w:rFonts w:eastAsiaTheme="minorEastAsia" w:cs="Times New Roman"/>
          <w:b/>
          <w:bCs/>
        </w:rPr>
        <w:t>extubation</w:t>
      </w:r>
      <w:proofErr w:type="spellEnd"/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1"/>
        <w:gridCol w:w="4676"/>
        <w:gridCol w:w="803"/>
        <w:gridCol w:w="1699"/>
        <w:gridCol w:w="1091"/>
      </w:tblGrid>
      <w:tr w:rsidR="00D0581C" w:rsidRPr="009644C1" w:rsidTr="00CE4685">
        <w:trPr>
          <w:tblHeader/>
          <w:tblCellSpacing w:w="15" w:type="dxa"/>
        </w:trPr>
        <w:tc>
          <w:tcPr>
            <w:tcW w:w="605" w:type="pct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:rsidR="00D0581C" w:rsidRPr="00A4441A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A4441A">
              <w:rPr>
                <w:rFonts w:eastAsiaTheme="minorEastAsia" w:cs="Times New Roman"/>
              </w:rPr>
              <w:t>Model</w:t>
            </w:r>
          </w:p>
        </w:tc>
        <w:tc>
          <w:tcPr>
            <w:tcW w:w="2474" w:type="pct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:rsidR="00D0581C" w:rsidRPr="00A4441A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A4441A">
              <w:rPr>
                <w:rFonts w:eastAsiaTheme="minorEastAsia" w:cs="Times New Roman"/>
              </w:rPr>
              <w:t>Variable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:rsidR="00D0581C" w:rsidRPr="00A4441A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A4441A">
              <w:rPr>
                <w:rFonts w:eastAsiaTheme="minorEastAsia" w:cs="Times New Roman"/>
              </w:rPr>
              <w:t>OR</w:t>
            </w:r>
          </w:p>
        </w:tc>
        <w:tc>
          <w:tcPr>
            <w:tcW w:w="888" w:type="pct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:rsidR="00D0581C" w:rsidRPr="00A4441A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A4441A">
              <w:rPr>
                <w:rFonts w:eastAsiaTheme="minorEastAsia" w:cs="Times New Roman"/>
              </w:rPr>
              <w:t>95% CI</w:t>
            </w:r>
          </w:p>
        </w:tc>
        <w:tc>
          <w:tcPr>
            <w:tcW w:w="557" w:type="pct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:rsidR="00D0581C" w:rsidRPr="00A4441A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A4441A">
              <w:rPr>
                <w:rFonts w:eastAsiaTheme="minorEastAsia" w:cs="Times New Roman"/>
              </w:rPr>
              <w:t>P value</w:t>
            </w:r>
          </w:p>
        </w:tc>
      </w:tr>
      <w:tr w:rsidR="00D0581C" w:rsidRPr="009644C1" w:rsidTr="00CE4685">
        <w:trPr>
          <w:tblCellSpacing w:w="15" w:type="dxa"/>
        </w:trPr>
        <w:tc>
          <w:tcPr>
            <w:tcW w:w="605" w:type="pct"/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Model 1</w:t>
            </w:r>
          </w:p>
        </w:tc>
        <w:tc>
          <w:tcPr>
            <w:tcW w:w="2474" w:type="pct"/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LUS, per 1-point increase</w:t>
            </w:r>
          </w:p>
        </w:tc>
        <w:tc>
          <w:tcPr>
            <w:tcW w:w="412" w:type="pct"/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1.372</w:t>
            </w:r>
          </w:p>
        </w:tc>
        <w:tc>
          <w:tcPr>
            <w:tcW w:w="888" w:type="pct"/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1.186–1.588</w:t>
            </w:r>
          </w:p>
        </w:tc>
        <w:tc>
          <w:tcPr>
            <w:tcW w:w="557" w:type="pct"/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&lt;0.001</w:t>
            </w:r>
          </w:p>
        </w:tc>
      </w:tr>
      <w:tr w:rsidR="00D0581C" w:rsidRPr="009644C1" w:rsidTr="00CE4685">
        <w:trPr>
          <w:tblCellSpacing w:w="15" w:type="dxa"/>
        </w:trPr>
        <w:tc>
          <w:tcPr>
            <w:tcW w:w="605" w:type="pct"/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Model 2</w:t>
            </w:r>
          </w:p>
        </w:tc>
        <w:tc>
          <w:tcPr>
            <w:tcW w:w="2474" w:type="pct"/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LUS, per 1-point increase</w:t>
            </w:r>
          </w:p>
        </w:tc>
        <w:tc>
          <w:tcPr>
            <w:tcW w:w="412" w:type="pct"/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1.370</w:t>
            </w:r>
          </w:p>
        </w:tc>
        <w:tc>
          <w:tcPr>
            <w:tcW w:w="888" w:type="pct"/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1.179–1.593</w:t>
            </w:r>
          </w:p>
        </w:tc>
        <w:tc>
          <w:tcPr>
            <w:tcW w:w="557" w:type="pct"/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&lt;0.001</w:t>
            </w:r>
          </w:p>
        </w:tc>
      </w:tr>
      <w:tr w:rsidR="00D0581C" w:rsidRPr="009644C1" w:rsidTr="00CE4685">
        <w:trPr>
          <w:tblCellSpacing w:w="15" w:type="dxa"/>
        </w:trPr>
        <w:tc>
          <w:tcPr>
            <w:tcW w:w="605" w:type="pct"/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</w:p>
        </w:tc>
        <w:tc>
          <w:tcPr>
            <w:tcW w:w="2474" w:type="pct"/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Fluid balance, per 500-</w:t>
            </w:r>
            <w:r>
              <w:rPr>
                <w:rFonts w:eastAsiaTheme="minorEastAsia" w:cs="Times New Roman"/>
              </w:rPr>
              <w:t>mL</w:t>
            </w:r>
            <w:r w:rsidRPr="009644C1">
              <w:rPr>
                <w:rFonts w:eastAsiaTheme="minorEastAsia" w:cs="Times New Roman"/>
              </w:rPr>
              <w:t xml:space="preserve"> increase</w:t>
            </w:r>
          </w:p>
        </w:tc>
        <w:tc>
          <w:tcPr>
            <w:tcW w:w="412" w:type="pct"/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1.007</w:t>
            </w:r>
          </w:p>
        </w:tc>
        <w:tc>
          <w:tcPr>
            <w:tcW w:w="888" w:type="pct"/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0.821–1.235</w:t>
            </w:r>
          </w:p>
        </w:tc>
        <w:tc>
          <w:tcPr>
            <w:tcW w:w="557" w:type="pct"/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0.948</w:t>
            </w:r>
          </w:p>
        </w:tc>
      </w:tr>
      <w:tr w:rsidR="00D0581C" w:rsidRPr="009644C1" w:rsidTr="00CE4685">
        <w:trPr>
          <w:tblCellSpacing w:w="15" w:type="dxa"/>
        </w:trPr>
        <w:tc>
          <w:tcPr>
            <w:tcW w:w="605" w:type="pct"/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</w:p>
        </w:tc>
        <w:tc>
          <w:tcPr>
            <w:tcW w:w="2474" w:type="pct"/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Valve surgery</w:t>
            </w:r>
          </w:p>
        </w:tc>
        <w:tc>
          <w:tcPr>
            <w:tcW w:w="412" w:type="pct"/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0.292</w:t>
            </w:r>
          </w:p>
        </w:tc>
        <w:tc>
          <w:tcPr>
            <w:tcW w:w="888" w:type="pct"/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0.075–1.134</w:t>
            </w:r>
          </w:p>
        </w:tc>
        <w:tc>
          <w:tcPr>
            <w:tcW w:w="557" w:type="pct"/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0.075</w:t>
            </w:r>
          </w:p>
        </w:tc>
      </w:tr>
      <w:tr w:rsidR="00D0581C" w:rsidRPr="009644C1" w:rsidTr="00CE4685">
        <w:trPr>
          <w:tblCellSpacing w:w="15" w:type="dxa"/>
        </w:trPr>
        <w:tc>
          <w:tcPr>
            <w:tcW w:w="605" w:type="pct"/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Model 3</w:t>
            </w:r>
          </w:p>
        </w:tc>
        <w:tc>
          <w:tcPr>
            <w:tcW w:w="2474" w:type="pct"/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LUS, per 1-point increase</w:t>
            </w:r>
          </w:p>
        </w:tc>
        <w:tc>
          <w:tcPr>
            <w:tcW w:w="412" w:type="pct"/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1.376</w:t>
            </w:r>
          </w:p>
        </w:tc>
        <w:tc>
          <w:tcPr>
            <w:tcW w:w="888" w:type="pct"/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1.185–1.598</w:t>
            </w:r>
          </w:p>
        </w:tc>
        <w:tc>
          <w:tcPr>
            <w:tcW w:w="557" w:type="pct"/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&lt;0.001</w:t>
            </w:r>
          </w:p>
        </w:tc>
      </w:tr>
      <w:tr w:rsidR="00D0581C" w:rsidRPr="009644C1" w:rsidTr="00CE4685">
        <w:trPr>
          <w:tblCellSpacing w:w="15" w:type="dxa"/>
        </w:trPr>
        <w:tc>
          <w:tcPr>
            <w:tcW w:w="605" w:type="pct"/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</w:p>
        </w:tc>
        <w:tc>
          <w:tcPr>
            <w:tcW w:w="2474" w:type="pct"/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Fluid balance, per 500-</w:t>
            </w:r>
            <w:r>
              <w:rPr>
                <w:rFonts w:eastAsiaTheme="minorEastAsia" w:cs="Times New Roman"/>
              </w:rPr>
              <w:t>mL</w:t>
            </w:r>
            <w:r w:rsidRPr="009644C1">
              <w:rPr>
                <w:rFonts w:eastAsiaTheme="minorEastAsia" w:cs="Times New Roman"/>
              </w:rPr>
              <w:t xml:space="preserve"> increase</w:t>
            </w:r>
          </w:p>
        </w:tc>
        <w:tc>
          <w:tcPr>
            <w:tcW w:w="412" w:type="pct"/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1.067</w:t>
            </w:r>
          </w:p>
        </w:tc>
        <w:tc>
          <w:tcPr>
            <w:tcW w:w="888" w:type="pct"/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0.863–1.320</w:t>
            </w:r>
          </w:p>
        </w:tc>
        <w:tc>
          <w:tcPr>
            <w:tcW w:w="557" w:type="pct"/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0.550</w:t>
            </w:r>
          </w:p>
        </w:tc>
      </w:tr>
      <w:tr w:rsidR="00D0581C" w:rsidRPr="009644C1" w:rsidTr="00CE4685">
        <w:trPr>
          <w:tblCellSpacing w:w="15" w:type="dxa"/>
        </w:trPr>
        <w:tc>
          <w:tcPr>
            <w:tcW w:w="605" w:type="pct"/>
            <w:tcBorders>
              <w:bottom w:val="single" w:sz="12" w:space="0" w:color="auto"/>
            </w:tcBorders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</w:p>
        </w:tc>
        <w:tc>
          <w:tcPr>
            <w:tcW w:w="2474" w:type="pct"/>
            <w:tcBorders>
              <w:bottom w:val="single" w:sz="12" w:space="0" w:color="auto"/>
            </w:tcBorders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Age, per 1-year increase</w:t>
            </w:r>
          </w:p>
        </w:tc>
        <w:tc>
          <w:tcPr>
            <w:tcW w:w="412" w:type="pct"/>
            <w:tcBorders>
              <w:bottom w:val="single" w:sz="12" w:space="0" w:color="auto"/>
            </w:tcBorders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1.045</w:t>
            </w:r>
          </w:p>
        </w:tc>
        <w:tc>
          <w:tcPr>
            <w:tcW w:w="888" w:type="pct"/>
            <w:tcBorders>
              <w:bottom w:val="single" w:sz="12" w:space="0" w:color="auto"/>
            </w:tcBorders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0.991–1.101</w:t>
            </w:r>
          </w:p>
        </w:tc>
        <w:tc>
          <w:tcPr>
            <w:tcW w:w="557" w:type="pct"/>
            <w:tcBorders>
              <w:bottom w:val="single" w:sz="12" w:space="0" w:color="auto"/>
            </w:tcBorders>
            <w:vAlign w:val="center"/>
            <w:hideMark/>
          </w:tcPr>
          <w:p w:rsidR="00D0581C" w:rsidRPr="009644C1" w:rsidRDefault="00D0581C" w:rsidP="00CE4685">
            <w:pPr>
              <w:spacing w:after="0"/>
              <w:rPr>
                <w:rFonts w:eastAsiaTheme="minorEastAsia" w:cs="Times New Roman"/>
              </w:rPr>
            </w:pPr>
            <w:r w:rsidRPr="009644C1">
              <w:rPr>
                <w:rFonts w:eastAsiaTheme="minorEastAsia" w:cs="Times New Roman"/>
              </w:rPr>
              <w:t>0.106</w:t>
            </w:r>
          </w:p>
        </w:tc>
      </w:tr>
    </w:tbl>
    <w:p w:rsidR="00D0581C" w:rsidRDefault="00D0581C" w:rsidP="00D0581C">
      <w:pPr>
        <w:spacing w:after="0" w:line="360" w:lineRule="auto"/>
        <w:jc w:val="both"/>
        <w:rPr>
          <w:rFonts w:eastAsiaTheme="minorEastAsia" w:cs="Times New Roman"/>
        </w:rPr>
      </w:pPr>
      <w:r w:rsidRPr="00D863B9">
        <w:rPr>
          <w:rFonts w:eastAsiaTheme="minorEastAsia" w:cs="Times New Roman"/>
        </w:rPr>
        <w:t>Model 1 was unadjusted. Model 2 was adjusted for intraoperative fluid balance and valve surgery. Model 3 was adjusted for intraoperative fluid balance and age. Fluid balance was analyzed per 500-</w:t>
      </w:r>
      <w:r>
        <w:rPr>
          <w:rFonts w:eastAsiaTheme="minorEastAsia" w:cs="Times New Roman"/>
        </w:rPr>
        <w:t>mL</w:t>
      </w:r>
      <w:r w:rsidRPr="00D863B9">
        <w:rPr>
          <w:rFonts w:eastAsiaTheme="minorEastAsia" w:cs="Times New Roman"/>
        </w:rPr>
        <w:t xml:space="preserve"> increase. </w:t>
      </w:r>
      <w:proofErr w:type="gramStart"/>
      <w:r w:rsidRPr="00D863B9">
        <w:rPr>
          <w:rFonts w:eastAsiaTheme="minorEastAsia" w:cs="Times New Roman"/>
        </w:rPr>
        <w:t>OR, odds ratio; CI, confidence interval; LUS, lung ultrasound score; NIV, non-invasive ventilation.</w:t>
      </w:r>
      <w:proofErr w:type="gramEnd"/>
    </w:p>
    <w:p w:rsidR="00091723" w:rsidRDefault="00D0581C">
      <w:bookmarkStart w:id="3" w:name="_GoBack"/>
      <w:bookmarkEnd w:id="3"/>
    </w:p>
    <w:sectPr w:rsidR="000917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81C"/>
    <w:rsid w:val="00AA0270"/>
    <w:rsid w:val="00C15F41"/>
    <w:rsid w:val="00D0581C"/>
    <w:rsid w:val="00E75452"/>
    <w:rsid w:val="00ED1A1E"/>
    <w:rsid w:val="00FF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81C"/>
    <w:pPr>
      <w:widowControl w:val="0"/>
      <w:spacing w:after="160" w:line="480" w:lineRule="auto"/>
    </w:pPr>
    <w:rPr>
      <w:rFonts w:ascii="Times New Roman" w:eastAsia="Times New Roman" w:hAnsi="Times New Roman"/>
      <w:kern w:val="2"/>
      <w:sz w:val="24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581C"/>
    <w:pPr>
      <w:spacing w:after="0" w:line="240" w:lineRule="auto"/>
    </w:pPr>
    <w:rPr>
      <w:rFonts w:eastAsiaTheme="minorEastAsia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81C"/>
    <w:pPr>
      <w:widowControl w:val="0"/>
      <w:spacing w:after="160" w:line="480" w:lineRule="auto"/>
    </w:pPr>
    <w:rPr>
      <w:rFonts w:ascii="Times New Roman" w:eastAsia="Times New Roman" w:hAnsi="Times New Roman"/>
      <w:kern w:val="2"/>
      <w:sz w:val="24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581C"/>
    <w:pPr>
      <w:spacing w:after="0" w:line="240" w:lineRule="auto"/>
    </w:pPr>
    <w:rPr>
      <w:rFonts w:eastAsiaTheme="minorEastAsia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 Nica Aguilar</dc:creator>
  <cp:lastModifiedBy>Jean Nica Aguilar</cp:lastModifiedBy>
  <cp:revision>1</cp:revision>
  <dcterms:created xsi:type="dcterms:W3CDTF">2026-09-01T03:55:00Z</dcterms:created>
  <dcterms:modified xsi:type="dcterms:W3CDTF">2026-09-01T03:55:00Z</dcterms:modified>
</cp:coreProperties>
</file>