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4E79"/>
          <w:sz w:val="32"/>
        </w:rPr>
        <w:t>Additional File 2. Data Dictionary</w:t>
      </w:r>
    </w:p>
    <w:p>
      <w:pPr>
        <w:jc w:val="center"/>
      </w:pPr>
      <w:r>
        <w:rPr>
          <w:rFonts w:ascii="Arial" w:hAnsi="Arial"/>
          <w:color w:val="595959"/>
          <w:sz w:val="20"/>
        </w:rPr>
        <w:t>06_Additional_File_1_Primary_Outcome_Data.csv</w:t>
      </w:r>
    </w:p>
    <w:p>
      <w:pPr>
        <w:pStyle w:val="Heading1"/>
      </w:pPr>
      <w:r>
        <w:t>Dataset scope</w:t>
      </w:r>
    </w:p>
    <w:p>
      <w:r>
        <w:t>This file describes the de-identified participant-level dataset used to reproduce the primary ITT and PP analyses and the post hoc assistance sensitivity analysis. The dataset contains no names, hospital identifiers, dates, contact information, or original row order.</w:t>
      </w:r>
    </w:p>
    <w:tbl>
      <w:tblPr>
        <w:tblStyle w:val="TableGrid"/>
        <w:tblW w:type="auto" w:w="0"/>
        <w:jc w:val="center"/>
        <w:tblLook w:firstColumn="1" w:firstRow="1" w:lastColumn="0" w:lastRow="0" w:noHBand="0" w:noVBand="1" w:val="04A0"/>
      </w:tblPr>
      <w:tblGrid>
        <w:gridCol w:w="4649"/>
        <w:gridCol w:w="4649"/>
      </w:tblGrid>
      <w:tr>
        <w:tc>
          <w:tcPr>
            <w:tcW w:type="dxa" w:w="4649"/>
            <w:vAlign w:val="center"/>
            <w:shd w:fill="EAF2F8"/>
          </w:tcPr>
          <w:p>
            <w:r/>
            <w:r>
              <w:rPr>
                <w:rFonts w:ascii="Arial" w:hAnsi="Arial"/>
                <w:b/>
                <w:color w:val="000000"/>
                <w:sz w:val="18"/>
              </w:rPr>
              <w:t>study_id</w:t>
            </w:r>
          </w:p>
        </w:tc>
        <w:tc>
          <w:tcPr>
            <w:tcW w:type="dxa" w:w="4649"/>
            <w:vAlign w:val="center"/>
          </w:tcPr>
          <w:p>
            <w:r/>
            <w:r>
              <w:rPr>
                <w:rFonts w:ascii="Arial" w:hAnsi="Arial"/>
                <w:b w:val="0"/>
                <w:color w:val="000000"/>
                <w:sz w:val="18"/>
              </w:rPr>
              <w:t>New supplementary identifier generated after random reordering; not a hospital identifier and does not preserve recruitment order.</w:t>
            </w:r>
          </w:p>
        </w:tc>
      </w:tr>
      <w:tr>
        <w:tc>
          <w:tcPr>
            <w:tcW w:type="dxa" w:w="4649"/>
            <w:vAlign w:val="center"/>
            <w:shd w:fill="EAF2F8"/>
          </w:tcPr>
          <w:p>
            <w:r/>
            <w:r>
              <w:rPr>
                <w:rFonts w:ascii="Arial" w:hAnsi="Arial"/>
                <w:b/>
                <w:color w:val="000000"/>
                <w:sz w:val="18"/>
              </w:rPr>
              <w:t>randomized_group</w:t>
            </w:r>
          </w:p>
        </w:tc>
        <w:tc>
          <w:tcPr>
            <w:tcW w:type="dxa" w:w="4649"/>
            <w:vAlign w:val="center"/>
          </w:tcPr>
          <w:p>
            <w:r/>
            <w:r>
              <w:rPr>
                <w:rFonts w:ascii="Arial" w:hAnsi="Arial"/>
                <w:b w:val="0"/>
                <w:color w:val="000000"/>
                <w:sz w:val="18"/>
              </w:rPr>
              <w:t>Conventional or AI-assisted workflow.</w:t>
            </w:r>
          </w:p>
        </w:tc>
      </w:tr>
      <w:tr>
        <w:tc>
          <w:tcPr>
            <w:tcW w:type="dxa" w:w="4649"/>
            <w:vAlign w:val="center"/>
            <w:shd w:fill="EAF2F8"/>
          </w:tcPr>
          <w:p>
            <w:r/>
            <w:r>
              <w:rPr>
                <w:rFonts w:ascii="Arial" w:hAnsi="Arial"/>
                <w:b/>
                <w:color w:val="000000"/>
                <w:sz w:val="18"/>
              </w:rPr>
              <w:t>initial_workflow_asa</w:t>
            </w:r>
          </w:p>
        </w:tc>
        <w:tc>
          <w:tcPr>
            <w:tcW w:type="dxa" w:w="4649"/>
            <w:vAlign w:val="center"/>
          </w:tcPr>
          <w:p>
            <w:r/>
            <w:r>
              <w:rPr>
                <w:rFonts w:ascii="Arial" w:hAnsi="Arial"/>
                <w:b w:val="0"/>
                <w:color w:val="000000"/>
                <w:sz w:val="18"/>
              </w:rPr>
              <w:t>ASA physical status classification recorded by the assigned initial workflow after resident review. It is not an unreviewed, autonomous AI-only output.</w:t>
            </w:r>
          </w:p>
        </w:tc>
      </w:tr>
      <w:tr>
        <w:tc>
          <w:tcPr>
            <w:tcW w:type="dxa" w:w="4649"/>
            <w:vAlign w:val="center"/>
            <w:shd w:fill="EAF2F8"/>
          </w:tcPr>
          <w:p>
            <w:r/>
            <w:r>
              <w:rPr>
                <w:rFonts w:ascii="Arial" w:hAnsi="Arial"/>
                <w:b/>
                <w:color w:val="000000"/>
                <w:sz w:val="18"/>
              </w:rPr>
              <w:t>attending_reference_asa</w:t>
            </w:r>
          </w:p>
        </w:tc>
        <w:tc>
          <w:tcPr>
            <w:tcW w:type="dxa" w:w="4649"/>
            <w:vAlign w:val="center"/>
          </w:tcPr>
          <w:p>
            <w:r/>
            <w:r>
              <w:rPr>
                <w:rFonts w:ascii="Arial" w:hAnsi="Arial"/>
                <w:b w:val="0"/>
                <w:color w:val="000000"/>
                <w:sz w:val="18"/>
              </w:rPr>
              <w:t>Independent day-of-surgery ASA classification assigned by an attending-level or more senior anesthesiologist before viewing the initial classification.</w:t>
            </w:r>
          </w:p>
        </w:tc>
      </w:tr>
      <w:tr>
        <w:tc>
          <w:tcPr>
            <w:tcW w:type="dxa" w:w="4649"/>
            <w:vAlign w:val="center"/>
            <w:shd w:fill="EAF2F8"/>
          </w:tcPr>
          <w:p>
            <w:r/>
            <w:r>
              <w:rPr>
                <w:rFonts w:ascii="Arial" w:hAnsi="Arial"/>
                <w:b/>
                <w:color w:val="000000"/>
                <w:sz w:val="18"/>
              </w:rPr>
              <w:t>exact_concordance</w:t>
            </w:r>
          </w:p>
        </w:tc>
        <w:tc>
          <w:tcPr>
            <w:tcW w:type="dxa" w:w="4649"/>
            <w:vAlign w:val="center"/>
          </w:tcPr>
          <w:p>
            <w:r/>
            <w:r>
              <w:rPr>
                <w:rFonts w:ascii="Arial" w:hAnsi="Arial"/>
                <w:b w:val="0"/>
                <w:color w:val="000000"/>
                <w:sz w:val="18"/>
              </w:rPr>
              <w:t>1 when initial_workflow_asa equals attending_reference_asa; otherwise 0.</w:t>
            </w:r>
          </w:p>
        </w:tc>
      </w:tr>
      <w:tr>
        <w:tc>
          <w:tcPr>
            <w:tcW w:type="dxa" w:w="4649"/>
            <w:vAlign w:val="center"/>
            <w:shd w:fill="EAF2F8"/>
          </w:tcPr>
          <w:p>
            <w:r/>
            <w:r>
              <w:rPr>
                <w:rFonts w:ascii="Arial" w:hAnsi="Arial"/>
                <w:b/>
                <w:color w:val="000000"/>
                <w:sz w:val="18"/>
              </w:rPr>
              <w:t>surgical_specialty</w:t>
            </w:r>
          </w:p>
        </w:tc>
        <w:tc>
          <w:tcPr>
            <w:tcW w:type="dxa" w:w="4649"/>
            <w:vAlign w:val="center"/>
          </w:tcPr>
          <w:p>
            <w:r/>
            <w:r>
              <w:rPr>
                <w:rFonts w:ascii="Arial" w:hAnsi="Arial"/>
                <w:b w:val="0"/>
                <w:color w:val="000000"/>
                <w:sz w:val="18"/>
              </w:rPr>
              <w:t>Planned surgical department, harmonized to English labels.</w:t>
            </w:r>
          </w:p>
        </w:tc>
      </w:tr>
      <w:tr>
        <w:tc>
          <w:tcPr>
            <w:tcW w:type="dxa" w:w="4649"/>
            <w:vAlign w:val="center"/>
            <w:shd w:fill="EAF2F8"/>
          </w:tcPr>
          <w:p>
            <w:r/>
            <w:r>
              <w:rPr>
                <w:rFonts w:ascii="Arial" w:hAnsi="Arial"/>
                <w:b/>
                <w:color w:val="000000"/>
                <w:sz w:val="18"/>
              </w:rPr>
              <w:t>interface_assistance_mode</w:t>
            </w:r>
          </w:p>
        </w:tc>
        <w:tc>
          <w:tcPr>
            <w:tcW w:type="dxa" w:w="4649"/>
            <w:vAlign w:val="center"/>
          </w:tcPr>
          <w:p>
            <w:r/>
            <w:r>
              <w:rPr>
                <w:rFonts w:ascii="Arial" w:hAnsi="Arial"/>
                <w:b w:val="0"/>
                <w:color w:val="000000"/>
                <w:sz w:val="18"/>
              </w:rPr>
              <w:t>For the AI-assisted group: independent patient use, family assistance, or anesthesiologist assistance limited to smartphone operation. Not applicable in the conventional group.</w:t>
            </w:r>
          </w:p>
        </w:tc>
      </w:tr>
      <w:tr>
        <w:tc>
          <w:tcPr>
            <w:tcW w:type="dxa" w:w="4649"/>
            <w:vAlign w:val="center"/>
            <w:shd w:fill="EAF2F8"/>
          </w:tcPr>
          <w:p>
            <w:r/>
            <w:r>
              <w:rPr>
                <w:rFonts w:ascii="Arial" w:hAnsi="Arial"/>
                <w:b/>
                <w:color w:val="000000"/>
                <w:sz w:val="18"/>
              </w:rPr>
              <w:t>itt_included</w:t>
            </w:r>
          </w:p>
        </w:tc>
        <w:tc>
          <w:tcPr>
            <w:tcW w:type="dxa" w:w="4649"/>
            <w:vAlign w:val="center"/>
          </w:tcPr>
          <w:p>
            <w:r/>
            <w:r>
              <w:rPr>
                <w:rFonts w:ascii="Arial" w:hAnsi="Arial"/>
                <w:b w:val="0"/>
                <w:color w:val="000000"/>
                <w:sz w:val="18"/>
              </w:rPr>
              <w:t>ITT inclusion indicator. All values are 1.</w:t>
            </w:r>
          </w:p>
        </w:tc>
      </w:tr>
      <w:tr>
        <w:tc>
          <w:tcPr>
            <w:tcW w:type="dxa" w:w="4649"/>
            <w:vAlign w:val="center"/>
            <w:shd w:fill="EAF2F8"/>
          </w:tcPr>
          <w:p>
            <w:r/>
            <w:r>
              <w:rPr>
                <w:rFonts w:ascii="Arial" w:hAnsi="Arial"/>
                <w:b/>
                <w:color w:val="000000"/>
                <w:sz w:val="18"/>
              </w:rPr>
              <w:t>pp_included</w:t>
            </w:r>
          </w:p>
        </w:tc>
        <w:tc>
          <w:tcPr>
            <w:tcW w:type="dxa" w:w="4649"/>
            <w:vAlign w:val="center"/>
          </w:tcPr>
          <w:p>
            <w:r/>
            <w:r>
              <w:rPr>
                <w:rFonts w:ascii="Arial" w:hAnsi="Arial"/>
                <w:b w:val="0"/>
                <w:color w:val="000000"/>
                <w:sz w:val="18"/>
              </w:rPr>
              <w:t>PP inclusion indicator. All values are 1 because no withdrawal, crossover, missing primary outcome, or major post-randomization deviation occurred.</w:t>
            </w:r>
          </w:p>
        </w:tc>
      </w:tr>
    </w:tbl>
    <w:p>
      <w:pPr>
        <w:pStyle w:val="Heading1"/>
      </w:pPr>
      <w:r>
        <w:t>Important interpretation notes</w:t>
      </w:r>
    </w:p>
    <w:p>
      <w:pPr>
        <w:pStyle w:val="ListBullet"/>
      </w:pPr>
      <w:r>
        <w:t>The retained analysis dataset did not contain a separate field for an unreviewed AI-only ASA suggestion. The initial_workflow_asa variable must therefore be interpreted as the classification recorded by the complete assigned workflow.</w:t>
      </w:r>
    </w:p>
    <w:p>
      <w:pPr>
        <w:pStyle w:val="ListBullet"/>
      </w:pPr>
      <w:r>
        <w:t>The attending classification is a clinical reference, not a validated gold standard. No duplicate independent ratings were collected, so inter-rater and intra-rater reliability cannot be reconstructed.</w:t>
      </w:r>
    </w:p>
    <w:p>
      <w:pPr>
        <w:pStyle w:val="ListBullet"/>
      </w:pPr>
      <w:r>
        <w:t>The source SAV file includes direct identifiers and must not be submitted. Only the de-identified CSV in this package is intended for editorial submission.</w:t>
      </w:r>
    </w:p>
    <w:p>
      <w:pPr>
        <w:pStyle w:val="ListBullet"/>
      </w:pPr>
      <w:r>
        <w:t>The study team should confirm that journal sharing of this de-identified dataset is consistent with institutional governance before upload.</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 xml:space="preserve">Page </w:t>
    </w: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