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Times New Roman" w:cs="Times New Roman" w:eastAsia="Times New Roman" w:hAnsi="Times New Roman"/>
          <w:b/>
          <w:bCs/>
          <w:sz w:val="22"/>
          <w:szCs w:val="22"/>
        </w:rPr>
        <w:t xml:space="preserve">Supplementary Table S2. Software and hardware specifications</w:t>
      </w:r>
    </w:p>
    <w:p>
      <w:pPr>
        <w:spacing w:after="80" w:before="0"/>
      </w:pPr>
      <w:r>
        <w:rPr>
          <w:rFonts w:ascii="Times New Roman" w:cs="Times New Roman" w:eastAsia="Times New Roman" w:hAnsi="Times New Roman"/>
          <w:b/>
          <w:bCs/>
          <w:sz w:val="20"/>
          <w:szCs w:val="20"/>
        </w:rPr>
        <w:t xml:space="preserve">Panel A. Pipeline software and external services</w:t>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329"/>
        <w:gridCol w:w="2524"/>
        <w:gridCol w:w="4853"/>
      </w:tblGrid>
      <w:tr>
        <w:trPr>
          <w:tblHeader/>
        </w:trPr>
        <w:tc>
          <w:tcPr>
            <w:tcW w:type="dxa" w:w="2329"/>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Component</w:t>
            </w:r>
          </w:p>
        </w:tc>
        <w:tc>
          <w:tcPr>
            <w:tcW w:type="dxa" w:w="2524"/>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Role</w:t>
            </w:r>
          </w:p>
        </w:tc>
        <w:tc>
          <w:tcPr>
            <w:tcW w:type="dxa" w:w="4853"/>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Version</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Language</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Pipeline implementation</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Python 3.11.7</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LangChain</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Multi-LLM orchestration and prompt management</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v0.2.16</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Neo4j Community Edition</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Knowledge graph hosting and Cypher query execution</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v5.15.0</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Custom rule engine</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Lean 4-inspired structured rule checking, implemented in Python</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Custom, no public version</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FastAPI</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Orchestration REST API layer</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v0.109.0</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Celery</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Asynchronous task management</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v5.3.6</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Claude Opus 4.5</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Stage 1 reasoning model (Anthropic, San Francisco, CA)</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API version 2025-01-15</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GPT-4.1</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Stage 1 reasoning model (OpenAI, San Francisco, CA)</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API version 2025-04-14</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Gemini 2.5 Pro</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Stage 1 reasoning model (Google DeepMind, London, UK)</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API version 2026-01-08</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PubMed and Cochrane Library APIs</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Stage 5 evidence retrieval layer</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Accessed during the study period</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DrugBank</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Drug interaction and serotonergic interaction profiles for the knowledge graph</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v5.1.11</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Derivation record store</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Append-only records, SHA-256 hashed JSON-LD</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Custom, no public version</w:t>
            </w:r>
          </w:p>
        </w:tc>
      </w:tr>
    </w:tbl>
    <w:p>
      <w:pPr>
        <w:spacing w:after="80" w:before="240"/>
      </w:pPr>
      <w:r>
        <w:rPr>
          <w:rFonts w:ascii="Times New Roman" w:cs="Times New Roman" w:eastAsia="Times New Roman" w:hAnsi="Times New Roman"/>
          <w:b/>
          <w:bCs/>
          <w:sz w:val="20"/>
          <w:szCs w:val="20"/>
        </w:rPr>
        <w:t xml:space="preserve">Panel B. Statistical software</w:t>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329"/>
        <w:gridCol w:w="2524"/>
        <w:gridCol w:w="4853"/>
      </w:tblGrid>
      <w:tr>
        <w:trPr>
          <w:tblHeader/>
        </w:trPr>
        <w:tc>
          <w:tcPr>
            <w:tcW w:type="dxa" w:w="2329"/>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Component</w:t>
            </w:r>
          </w:p>
        </w:tc>
        <w:tc>
          <w:tcPr>
            <w:tcW w:type="dxa" w:w="2524"/>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Role</w:t>
            </w:r>
          </w:p>
        </w:tc>
        <w:tc>
          <w:tcPr>
            <w:tcW w:type="dxa" w:w="4853"/>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Version</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R</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Statistical analyses of the original submission</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v4.3.2</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irr</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Inter-rater reliability</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v0.84.1</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DescTools</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Non-inferiority testing and exact tests</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v0.99.54</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boot</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Bootstrapped confidence intervals</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v1.3-30</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ggplot2</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Visualisation</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v3.5.0</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emmeans</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Estimated marginal means</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v1.10.0</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psych</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Intraclass correlation</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v2.4.3</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R</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Primary analysis and the sensitivity analyses added during peer review</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v4.3.3</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lme4</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Crossed random-effects model reported in the response to the editor only</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v1.1-35.1</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Python</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Independent reimplementation used to cross-check every reported statistic</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v3.11 with numpy, scipy, pandas and statsmodels</w:t>
            </w:r>
          </w:p>
        </w:tc>
      </w:tr>
    </w:tbl>
    <w:p>
      <w:pPr>
        <w:spacing w:after="80" w:before="240"/>
      </w:pPr>
      <w:r>
        <w:rPr>
          <w:rFonts w:ascii="Times New Roman" w:cs="Times New Roman" w:eastAsia="Times New Roman" w:hAnsi="Times New Roman"/>
          <w:b/>
          <w:bCs/>
          <w:sz w:val="20"/>
          <w:szCs w:val="20"/>
        </w:rPr>
        <w:t xml:space="preserve">Panel C. Hardware</w:t>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329"/>
        <w:gridCol w:w="2524"/>
        <w:gridCol w:w="4853"/>
      </w:tblGrid>
      <w:tr>
        <w:trPr>
          <w:tblHeader/>
        </w:trPr>
        <w:tc>
          <w:tcPr>
            <w:tcW w:type="dxa" w:w="2329"/>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Component</w:t>
            </w:r>
          </w:p>
        </w:tc>
        <w:tc>
          <w:tcPr>
            <w:tcW w:type="dxa" w:w="2524"/>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Role</w:t>
            </w:r>
          </w:p>
        </w:tc>
        <w:tc>
          <w:tcPr>
            <w:tcW w:type="dxa" w:w="4853"/>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Specification</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Processor</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Hardware used to run the pipeline</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[TO BE COMPLETED BY THE AUTHOR]</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Memory</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Hardware used to run the pipeline</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[TO BE COMPLETED BY THE AUTHOR]</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Graphics processing unit, if any</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Hardware used to run the pipeline</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[TO BE COMPLETED BY THE AUTHOR]</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Storage</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Hardware used to run the pipeline</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[TO BE COMPLETED BY THE AUTHOR]</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Operating system</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Hardware used to run the pipeline</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[TO BE COMPLETED BY THE AUTHOR]</w:t>
            </w:r>
          </w:p>
        </w:tc>
      </w:tr>
      <w:tr>
        <w:tc>
          <w:tcPr>
            <w:tcW w:type="dxa" w:w="2329"/>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Deployment (local workstation, server or cloud instance)</w:t>
            </w:r>
          </w:p>
        </w:tc>
        <w:tc>
          <w:tcPr>
            <w:tcW w:type="dxa" w:w="2524"/>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Hardware used to run the pipeline</w:t>
            </w:r>
          </w:p>
        </w:tc>
        <w:tc>
          <w:tcPr>
            <w:tcW w:type="dxa" w:w="4853"/>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[TO BE COMPLETED BY THE AUTHOR]</w:t>
            </w:r>
          </w:p>
        </w:tc>
      </w:tr>
    </w:tbl>
    <w:p>
      <w:pPr>
        <w:spacing w:before="160"/>
        <w:jc w:val="both"/>
      </w:pPr>
      <w:r>
        <w:rPr>
          <w:rFonts w:ascii="Times New Roman" w:cs="Times New Roman" w:eastAsia="Times New Roman" w:hAnsi="Times New Roman"/>
          <w:sz w:val="18"/>
          <w:szCs w:val="18"/>
        </w:rPr>
        <w:t xml:space="preserve">Panels A and B list the versions stated in Sections 2.3 and 2.5 of the manuscript and in the response to the editor. The three reasoning models are commercial services, so no local model weights were used and the hardware requirement is that of the orchestration layer and of the graph database. Panel C is left for the author, because the manuscript does not state the hardware anywhere and it cannot be derived from the reported results.</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2026-10-03T18:29:30.860Z</dcterms:created>
  <dcterms:modified xsi:type="dcterms:W3CDTF">2026-10-03T18:29:30.860Z</dcterms:modified>
</cp:coreProperties>
</file>

<file path=docProps/custom.xml><?xml version="1.0" encoding="utf-8"?>
<Properties xmlns="http://schemas.openxmlformats.org/officeDocument/2006/custom-properties" xmlns:vt="http://schemas.openxmlformats.org/officeDocument/2006/docPropsVTypes"/>
</file>