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Times New Roman" w:cs="Times New Roman" w:eastAsia="Times New Roman" w:hAnsi="Times New Roman"/>
          <w:b/>
          <w:bCs/>
          <w:sz w:val="22"/>
          <w:szCs w:val="22"/>
        </w:rPr>
        <w:t xml:space="preserve">Supplementary Table S1. Structured templates used by the PainNS-Prove pipeline</w:t>
      </w:r>
    </w:p>
    <w:p>
      <w:pPr>
        <w:spacing w:after="80" w:before="0"/>
      </w:pPr>
      <w:r>
        <w:rPr>
          <w:rFonts w:ascii="Times New Roman" w:cs="Times New Roman" w:eastAsia="Times New Roman" w:hAnsi="Times New Roman"/>
          <w:b/>
          <w:bCs/>
          <w:sz w:val="20"/>
          <w:szCs w:val="20"/>
        </w:rPr>
        <w:t xml:space="preserve">Panel A. Stage 1 structured prompt, mandated reasoning sequence and fixed parameters</w:t>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524"/>
        <w:gridCol w:w="7182"/>
      </w:tblGrid>
      <w:tr>
        <w:trPr>
          <w:tblHeader/>
        </w:trPr>
        <w:tc>
          <w:tcPr>
            <w:tcW w:type="dxa" w:w="2524"/>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Element</w:t>
            </w:r>
          </w:p>
        </w:tc>
        <w:tc>
          <w:tcPr>
            <w:tcW w:type="dxa" w:w="7182"/>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Specification</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Models receiving the identical prompt</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Claude Opus 4.5 (Anthropic, San Francisco, CA; API version 2025-01-15), GPT-4.1 (OpenAI, San Francisco, CA; API version 2025-04-14), Gemini 2.5 Pro (Google DeepMind, London, UK; API version 2026-01-08)</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Step 1. Pain mechanism classification</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Classification using the IASP 2017/2021 taxonomy, requiring the model to categorise the primary mechanism as nociceptive, neuropathic, nociplastic, or mixed, with explicit citation of the definitional criteria.</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Step 2. Findings</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Comprehensive identification of all positive and negative findings with notation of their diagnostic significance.</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Step 3. Ranked differential diagnosis</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A minimum of three candidates, each linked to specific diagnostic criteria (ACR 2010/2016 for fibromyalgia, Budapest 2010 for CRPS, NeuPSIG grading for neuropathic pain certainty).</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Step 4. Guideline citation</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Citation of the specific clinical guideline (organisation, version year, recommendation grade) supporting each reasoning step across the IASP, ACR, EULAR, AAN/NeuPSIG, ASRA and CDC frameworks.</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Step 5. Safety assessment</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Mandatory assessment encompassing MME calculation for any opioid-containing regimen, serotonergic interaction screening (Hunter criteria), CNS depression risk evaluation for benzodiazepine, opioid and muscle relaxant combinations, and polypharmacy assessment.</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Step 6. Cognitive trap identification</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Explicit checking for anchoring bias (particularly fixation on the fibromyalgia diagnosis when new findings suggest an alternative), availability bias (overweighting recently encountered conditions) and premature closure.</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Step 7. Option evaluation</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Systematic evaluation of each multiple-choice option against formal diagnostic and treatment criteria.</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Step 8. Structured output</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ANSWER: [A/B/C/D/E] | CONFIDENCE: [0-100%] | UNCERTAINTY: [description of which information, if changed, would alter the decision].</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Returned fields per vignette</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Consensus answer, individual model answers and confidence scores, cited guidelines, identified cognitive biases, counterfactual sensitivity flags, pain mechanism classification.</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Aggregation rule</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Majority voting with confidence-based tie-breaking. When two or more models agree, the majority answer is adopted. When all three disagree, the model with the highest confidence score is given priority provided its confidence exceeds 70%, otherwise the case is flagged as uncertain and receives enhanced scrutiny in Stage 2. The 70% threshold was set a priori and was not optimised on the study vignettes.</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Token budget per model</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Tier 1 (easy, confidence variance &lt; 0.10) 2,000 tokens; Tier 2 (moderate, 0.10 to &lt; 0.30) 4,000 tokens; Tier 3 (hard, variance &gt;= 0.30) 8,000 tokens.</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Verbatim prompt string</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[TO BE COMPLETED BY THE AUTHOR]</w:t>
            </w:r>
          </w:p>
        </w:tc>
      </w:tr>
    </w:tbl>
    <w:p>
      <w:pPr>
        <w:spacing w:after="80" w:before="240"/>
      </w:pPr>
      <w:r>
        <w:rPr>
          <w:rFonts w:ascii="Times New Roman" w:cs="Times New Roman" w:eastAsia="Times New Roman" w:hAnsi="Times New Roman"/>
          <w:b/>
          <w:bCs/>
          <w:sz w:val="20"/>
          <w:szCs w:val="20"/>
        </w:rPr>
        <w:t xml:space="preserve">Panel B. Stage 2 Cypher query, traversal and the four mandatory checks</w:t>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524"/>
        <w:gridCol w:w="7182"/>
      </w:tblGrid>
      <w:tr>
        <w:trPr>
          <w:tblHeader/>
        </w:trPr>
        <w:tc>
          <w:tcPr>
            <w:tcW w:type="dxa" w:w="2524"/>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Element</w:t>
            </w:r>
          </w:p>
        </w:tc>
        <w:tc>
          <w:tcPr>
            <w:tcW w:type="dxa" w:w="7182"/>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Specification</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Graph and engine</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Neo4j Community Edition v5.15.0, Cypher query executed once per vignette.</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Traversal</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The query traverses the graph from presenting symptoms and clinical findings to candidate diagnoses and treatments.</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Check 1. Diagnostic consistency</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Verifies that the selected diagnosis has valid traversal pathways from all key clinical findings through at least one established diagnostic criteria set encoded in the knowledge graph. If no valid pathway exists between a reported finding and the proposed diagnosis, the check fails.</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Check 2. Drug interaction safety</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Serotonergic interactions are identified by operationalising the Hunter criteria as graph traversals between serotonergic drug nodes. CNS depression risk is quantified as the sum of sedation risk weights assigned to all concurrent CNS-active medications in the proposed regimen. Opioid safety is assessed through automated morphine milligram equivalent calculation using the opioid_mme_factor edge attribute, with flagging when the total daily MME exceeds the CDC 50 mg caution threshold or the 90 mg high-risk threshold.</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Check 3. Guideline compliance</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Verifies that the recommended management aligns with at least one encoded guideline recommendation node. When alignment is confirmed, the system identifies the specific recommendation, its evidence grade and the issuing organisation.</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Check 4. Mechanism coherence</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Verifies that the classified pain mechanism (nociplastic, nociceptive, neuropathic or mixed) is consistent with the proposed treatment targets. A case classified as central sensitisation should include centrally acting agents rather than peripheral anti-inflammatory therapy alone.</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Failure handling</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Constraint violations trigger re-evaluation loops, to a maximum of three iterations.</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Verbatim Cypher query</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[TO BE COMPLETED BY THE AUTHOR]</w:t>
            </w:r>
          </w:p>
        </w:tc>
      </w:tr>
    </w:tbl>
    <w:p>
      <w:pPr>
        <w:spacing w:before="160"/>
        <w:jc w:val="both"/>
      </w:pPr>
      <w:r>
        <w:rPr>
          <w:rFonts w:ascii="Times New Roman" w:cs="Times New Roman" w:eastAsia="Times New Roman" w:hAnsi="Times New Roman"/>
          <w:sz w:val="18"/>
          <w:szCs w:val="18"/>
        </w:rPr>
        <w:t xml:space="preserve">The specifications in this table are those stated in Sections 2.3.1 and 2.3.2 of the manuscript. The two rows marked [TO BE COMPLETED BY THE AUTHOR] hold the verbatim prompt string and the verbatim Cypher query, which are part of the implementation rather than of the reported analysis. Section 2.3.1 cites this table for the prompt template and Section 2.3.2 cites it for the query template, which is why both are given here as Panel A and Panel B.</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2026-10-03T18:29:30.722Z</dcterms:created>
  <dcterms:modified xsi:type="dcterms:W3CDTF">2026-10-03T18:29:30.722Z</dcterms:modified>
</cp:coreProperties>
</file>

<file path=docProps/custom.xml><?xml version="1.0" encoding="utf-8"?>
<Properties xmlns="http://schemas.openxmlformats.org/officeDocument/2006/custom-properties" xmlns:vt="http://schemas.openxmlformats.org/officeDocument/2006/docPropsVTypes"/>
</file>