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rPr>
          <w:rFonts w:ascii="Times New Roman" w:cs="Times New Roman" w:eastAsia="Times New Roman" w:hAnsi="Times New Roman"/>
          <w:b/>
          <w:bCs/>
          <w:sz w:val="22"/>
          <w:szCs w:val="22"/>
        </w:rPr>
        <w:t xml:space="preserve">Supplementary Table S3. Structural statistics of the chronic pain knowledge graph</w:t>
      </w:r>
    </w:p>
    <w:p>
      <w:pPr>
        <w:spacing w:after="80" w:before="0"/>
      </w:pPr>
      <w:r>
        <w:rPr>
          <w:rFonts w:ascii="Times New Roman" w:cs="Times New Roman" w:eastAsia="Times New Roman" w:hAnsi="Times New Roman"/>
          <w:b/>
          <w:bCs/>
          <w:sz w:val="20"/>
          <w:szCs w:val="20"/>
        </w:rPr>
        <w:t xml:space="preserve">Panel A. Node taxonomy</w:t>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3400"/>
        <w:gridCol w:w="1200"/>
        <w:gridCol w:w="1300"/>
        <w:gridCol w:w="3800"/>
      </w:tblGrid>
      <w:tr>
        <w:trPr>
          <w:tblHeader/>
        </w:trPr>
        <w:tc>
          <w:tcPr>
            <w:tcW w:type="dxa" w:w="3400"/>
            <w:shd w:fill="DCE6F1" w:color="auto" w:val="clear"/>
            <w:tcMar>
              <w:top w:type="dxa" w:w="30"/>
              <w:left w:type="dxa" w:w="70"/>
              <w:bottom w:type="dxa" w:w="30"/>
              <w:right w:type="dxa" w:w="70"/>
            </w:tcMar>
          </w:tcPr>
          <w:p>
            <w:pPr>
              <w:spacing w:after="0"/>
              <w:jc w:val="center"/>
            </w:pPr>
            <w:r>
              <w:rPr>
                <w:rFonts w:ascii="Times New Roman" w:cs="Times New Roman" w:eastAsia="Times New Roman" w:hAnsi="Times New Roman"/>
                <w:b/>
                <w:bCs/>
                <w:sz w:val="20"/>
                <w:szCs w:val="20"/>
              </w:rPr>
              <w:t xml:space="preserve">Entity type</w:t>
            </w:r>
          </w:p>
        </w:tc>
        <w:tc>
          <w:tcPr>
            <w:tcW w:type="dxa" w:w="1200"/>
            <w:shd w:fill="DCE6F1" w:color="auto" w:val="clear"/>
            <w:tcMar>
              <w:top w:type="dxa" w:w="30"/>
              <w:left w:type="dxa" w:w="70"/>
              <w:bottom w:type="dxa" w:w="30"/>
              <w:right w:type="dxa" w:w="70"/>
            </w:tcMar>
          </w:tcPr>
          <w:p>
            <w:pPr>
              <w:spacing w:after="0"/>
              <w:jc w:val="center"/>
            </w:pPr>
            <w:r>
              <w:rPr>
                <w:rFonts w:ascii="Times New Roman" w:cs="Times New Roman" w:eastAsia="Times New Roman" w:hAnsi="Times New Roman"/>
                <w:b/>
                <w:bCs/>
                <w:sz w:val="20"/>
                <w:szCs w:val="20"/>
              </w:rPr>
              <w:t xml:space="preserve">Nodes, n</w:t>
            </w:r>
          </w:p>
        </w:tc>
        <w:tc>
          <w:tcPr>
            <w:tcW w:type="dxa" w:w="1300"/>
            <w:shd w:fill="DCE6F1" w:color="auto" w:val="clear"/>
            <w:tcMar>
              <w:top w:type="dxa" w:w="30"/>
              <w:left w:type="dxa" w:w="70"/>
              <w:bottom w:type="dxa" w:w="30"/>
              <w:right w:type="dxa" w:w="70"/>
            </w:tcMar>
          </w:tcPr>
          <w:p>
            <w:pPr>
              <w:spacing w:after="0"/>
              <w:jc w:val="center"/>
            </w:pPr>
            <w:r>
              <w:rPr>
                <w:rFonts w:ascii="Times New Roman" w:cs="Times New Roman" w:eastAsia="Times New Roman" w:hAnsi="Times New Roman"/>
                <w:b/>
                <w:bCs/>
                <w:sz w:val="20"/>
                <w:szCs w:val="20"/>
              </w:rPr>
              <w:t xml:space="preserve">% of all nodes</w:t>
            </w:r>
          </w:p>
        </w:tc>
        <w:tc>
          <w:tcPr>
            <w:tcW w:type="dxa" w:w="3800"/>
            <w:shd w:fill="DCE6F1" w:color="auto" w:val="clear"/>
            <w:tcMar>
              <w:top w:type="dxa" w:w="30"/>
              <w:left w:type="dxa" w:w="70"/>
              <w:bottom w:type="dxa" w:w="30"/>
              <w:right w:type="dxa" w:w="70"/>
            </w:tcMar>
          </w:tcPr>
          <w:p>
            <w:pPr>
              <w:spacing w:after="0"/>
              <w:jc w:val="center"/>
            </w:pPr>
            <w:r>
              <w:rPr>
                <w:rFonts w:ascii="Times New Roman" w:cs="Times New Roman" w:eastAsia="Times New Roman" w:hAnsi="Times New Roman"/>
                <w:b/>
                <w:bCs/>
                <w:sz w:val="20"/>
                <w:szCs w:val="20"/>
              </w:rPr>
              <w:t xml:space="preserve">Content</w:t>
            </w:r>
          </w:p>
        </w:tc>
      </w:tr>
      <w:tr>
        <w:tc>
          <w:tcPr>
            <w:tcW w:type="dxa" w:w="34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Anatomical entities</w:t>
            </w:r>
          </w:p>
        </w:tc>
        <w:tc>
          <w:tcPr>
            <w:tcW w:type="dxa" w:w="1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18,943</w:t>
            </w:r>
          </w:p>
        </w:tc>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36.1</w:t>
            </w:r>
          </w:p>
        </w:tc>
        <w:tc>
          <w:tcPr>
            <w:tcW w:type="dxa" w:w="38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Mapped to the Foundational Model of Anatomy</w:t>
            </w:r>
          </w:p>
        </w:tc>
      </w:tr>
      <w:tr>
        <w:tc>
          <w:tcPr>
            <w:tcW w:type="dxa" w:w="34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Symptoms and clinical signs</w:t>
            </w:r>
          </w:p>
        </w:tc>
        <w:tc>
          <w:tcPr>
            <w:tcW w:type="dxa" w:w="1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9,412</w:t>
            </w:r>
          </w:p>
        </w:tc>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18.0</w:t>
            </w:r>
          </w:p>
        </w:tc>
        <w:tc>
          <w:tcPr>
            <w:tcW w:type="dxa" w:w="38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
            </w:r>
          </w:p>
        </w:tc>
      </w:tr>
      <w:tr>
        <w:tc>
          <w:tcPr>
            <w:tcW w:type="dxa" w:w="34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Clinical guideline recommendation nodes</w:t>
            </w:r>
          </w:p>
        </w:tc>
        <w:tc>
          <w:tcPr>
            <w:tcW w:type="dxa" w:w="1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7,829</w:t>
            </w:r>
          </w:p>
        </w:tc>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14.9</w:t>
            </w:r>
          </w:p>
        </w:tc>
        <w:tc>
          <w:tcPr>
            <w:tcW w:type="dxa" w:w="38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Specific recommendations from IASP, ACR, EULAR, AAN/NeuPSIG, ASRA, CDC and ESC pain-related guidelines published 2017 to 2025</w:t>
            </w:r>
          </w:p>
        </w:tc>
      </w:tr>
      <w:tr>
        <w:tc>
          <w:tcPr>
            <w:tcW w:type="dxa" w:w="34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Drugs with dose ranges and interaction profiles</w:t>
            </w:r>
          </w:p>
        </w:tc>
        <w:tc>
          <w:tcPr>
            <w:tcW w:type="dxa" w:w="1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7,823</w:t>
            </w:r>
          </w:p>
        </w:tc>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14.9</w:t>
            </w:r>
          </w:p>
        </w:tc>
        <w:tc>
          <w:tcPr>
            <w:tcW w:type="dxa" w:w="38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All WHO ATC N02, N03 and N06 class medications, muscle relaxants, topical agents and interventional medications</w:t>
            </w:r>
          </w:p>
        </w:tc>
      </w:tr>
      <w:tr>
        <w:tc>
          <w:tcPr>
            <w:tcW w:type="dxa" w:w="34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Physiological and pathophysiological mechanisms</w:t>
            </w:r>
          </w:p>
        </w:tc>
        <w:tc>
          <w:tcPr>
            <w:tcW w:type="dxa" w:w="1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3,216</w:t>
            </w:r>
          </w:p>
        </w:tc>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6.1</w:t>
            </w:r>
          </w:p>
        </w:tc>
        <w:tc>
          <w:tcPr>
            <w:tcW w:type="dxa" w:w="38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Central sensitisation pathways, descending inhibition, peripheral and central nerve fibre subtypes</w:t>
            </w:r>
          </w:p>
        </w:tc>
      </w:tr>
      <w:tr>
        <w:tc>
          <w:tcPr>
            <w:tcW w:type="dxa" w:w="34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Pain conditions</w:t>
            </w:r>
          </w:p>
        </w:tc>
        <w:tc>
          <w:tcPr>
            <w:tcW w:type="dxa" w:w="1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2,847</w:t>
            </w:r>
          </w:p>
        </w:tc>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5.4</w:t>
            </w:r>
          </w:p>
        </w:tc>
        <w:tc>
          <w:tcPr>
            <w:tcW w:type="dxa" w:w="38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ICD-11 coded chronic primary pain, chronic secondary pain subtypes, IASP nociplastic pain classifications</w:t>
            </w:r>
          </w:p>
        </w:tc>
      </w:tr>
      <w:tr>
        <w:tc>
          <w:tcPr>
            <w:tcW w:type="dxa" w:w="34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Interventional procedures</w:t>
            </w:r>
          </w:p>
        </w:tc>
        <w:tc>
          <w:tcPr>
            <w:tcW w:type="dxa" w:w="1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1,456</w:t>
            </w:r>
          </w:p>
        </w:tc>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2.8</w:t>
            </w:r>
          </w:p>
        </w:tc>
        <w:tc>
          <w:tcPr>
            <w:tcW w:type="dxa" w:w="38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With indications and contraindications</w:t>
            </w:r>
          </w:p>
        </w:tc>
      </w:tr>
      <w:tr>
        <w:tc>
          <w:tcPr>
            <w:tcW w:type="dxa" w:w="34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Formal diagnostic criteria sets</w:t>
            </w:r>
          </w:p>
        </w:tc>
        <w:tc>
          <w:tcPr>
            <w:tcW w:type="dxa" w:w="1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892</w:t>
            </w:r>
          </w:p>
        </w:tc>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1.7</w:t>
            </w:r>
          </w:p>
        </w:tc>
        <w:tc>
          <w:tcPr>
            <w:tcW w:type="dxa" w:w="38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ACR 2010/2016 fibromyalgia criteria, Budapest CRPS criteria, NeuPSIG neuropathic pain grading, IASP chronic pain classifications</w:t>
            </w:r>
          </w:p>
        </w:tc>
      </w:tr>
      <w:tr>
        <w:tc>
          <w:tcPr>
            <w:tcW w:type="dxa" w:w="34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Total</w:t>
            </w:r>
          </w:p>
        </w:tc>
        <w:tc>
          <w:tcPr>
            <w:tcW w:type="dxa" w:w="1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52,418</w:t>
            </w:r>
          </w:p>
        </w:tc>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100.0</w:t>
            </w:r>
          </w:p>
        </w:tc>
        <w:tc>
          <w:tcPr>
            <w:tcW w:type="dxa" w:w="38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Stated node count of the knowledge graph</w:t>
            </w:r>
          </w:p>
        </w:tc>
      </w:tr>
    </w:tbl>
    <w:p>
      <w:pPr>
        <w:spacing w:after="80" w:before="240"/>
      </w:pPr>
      <w:r>
        <w:rPr>
          <w:rFonts w:ascii="Times New Roman" w:cs="Times New Roman" w:eastAsia="Times New Roman" w:hAnsi="Times New Roman"/>
          <w:b/>
          <w:bCs/>
          <w:sz w:val="20"/>
          <w:szCs w:val="20"/>
        </w:rPr>
        <w:t xml:space="preserve">Panel B. Edges</w:t>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3400"/>
        <w:gridCol w:w="1200"/>
        <w:gridCol w:w="1300"/>
        <w:gridCol w:w="3800"/>
      </w:tblGrid>
      <w:tr>
        <w:trPr>
          <w:tblHeader/>
        </w:trPr>
        <w:tc>
          <w:tcPr>
            <w:tcW w:type="dxa" w:w="3400"/>
            <w:shd w:fill="DCE6F1" w:color="auto" w:val="clear"/>
            <w:tcMar>
              <w:top w:type="dxa" w:w="30"/>
              <w:left w:type="dxa" w:w="70"/>
              <w:bottom w:type="dxa" w:w="30"/>
              <w:right w:type="dxa" w:w="70"/>
            </w:tcMar>
          </w:tcPr>
          <w:p>
            <w:pPr>
              <w:spacing w:after="0"/>
              <w:jc w:val="center"/>
            </w:pPr>
            <w:r>
              <w:rPr>
                <w:rFonts w:ascii="Times New Roman" w:cs="Times New Roman" w:eastAsia="Times New Roman" w:hAnsi="Times New Roman"/>
                <w:b/>
                <w:bCs/>
                <w:sz w:val="20"/>
                <w:szCs w:val="20"/>
              </w:rPr>
              <w:t xml:space="preserve">Edge statistic</w:t>
            </w:r>
          </w:p>
        </w:tc>
        <w:tc>
          <w:tcPr>
            <w:tcW w:type="dxa" w:w="1200"/>
            <w:shd w:fill="DCE6F1" w:color="auto" w:val="clear"/>
            <w:tcMar>
              <w:top w:type="dxa" w:w="30"/>
              <w:left w:type="dxa" w:w="70"/>
              <w:bottom w:type="dxa" w:w="30"/>
              <w:right w:type="dxa" w:w="70"/>
            </w:tcMar>
          </w:tcPr>
          <w:p>
            <w:pPr>
              <w:spacing w:after="0"/>
              <w:jc w:val="center"/>
            </w:pPr>
            <w:r>
              <w:rPr>
                <w:rFonts w:ascii="Times New Roman" w:cs="Times New Roman" w:eastAsia="Times New Roman" w:hAnsi="Times New Roman"/>
                <w:b/>
                <w:bCs/>
                <w:sz w:val="20"/>
                <w:szCs w:val="20"/>
              </w:rPr>
              <w:t xml:space="preserve">Edges, n</w:t>
            </w:r>
          </w:p>
        </w:tc>
        <w:tc>
          <w:tcPr>
            <w:tcW w:type="dxa" w:w="1300"/>
            <w:shd w:fill="DCE6F1" w:color="auto" w:val="clear"/>
            <w:tcMar>
              <w:top w:type="dxa" w:w="30"/>
              <w:left w:type="dxa" w:w="70"/>
              <w:bottom w:type="dxa" w:w="30"/>
              <w:right w:type="dxa" w:w="70"/>
            </w:tcMar>
          </w:tcPr>
          <w:p>
            <w:pPr>
              <w:spacing w:after="0"/>
              <w:jc w:val="center"/>
            </w:pPr>
            <w:r>
              <w:rPr>
                <w:rFonts w:ascii="Times New Roman" w:cs="Times New Roman" w:eastAsia="Times New Roman" w:hAnsi="Times New Roman"/>
                <w:b/>
                <w:bCs/>
                <w:sz w:val="20"/>
                <w:szCs w:val="20"/>
              </w:rPr>
              <w:t xml:space="preserve">% of all edges</w:t>
            </w:r>
          </w:p>
        </w:tc>
        <w:tc>
          <w:tcPr>
            <w:tcW w:type="dxa" w:w="3800"/>
            <w:shd w:fill="DCE6F1" w:color="auto" w:val="clear"/>
            <w:tcMar>
              <w:top w:type="dxa" w:w="30"/>
              <w:left w:type="dxa" w:w="70"/>
              <w:bottom w:type="dxa" w:w="30"/>
              <w:right w:type="dxa" w:w="70"/>
            </w:tcMar>
          </w:tcPr>
          <w:p>
            <w:pPr>
              <w:spacing w:after="0"/>
              <w:jc w:val="center"/>
            </w:pPr>
            <w:r>
              <w:rPr>
                <w:rFonts w:ascii="Times New Roman" w:cs="Times New Roman" w:eastAsia="Times New Roman" w:hAnsi="Times New Roman"/>
                <w:b/>
                <w:bCs/>
                <w:sz w:val="20"/>
                <w:szCs w:val="20"/>
              </w:rPr>
              <w:t xml:space="preserve">Content</w:t>
            </w:r>
          </w:p>
        </w:tc>
      </w:tr>
      <w:tr>
        <w:tc>
          <w:tcPr>
            <w:tcW w:type="dxa" w:w="34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Total directed edges</w:t>
            </w:r>
          </w:p>
        </w:tc>
        <w:tc>
          <w:tcPr>
            <w:tcW w:type="dxa" w:w="1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203,672</w:t>
            </w:r>
          </w:p>
        </w:tc>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100.0</w:t>
            </w:r>
          </w:p>
        </w:tc>
        <w:tc>
          <w:tcPr>
            <w:tcW w:type="dxa" w:w="38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Stated edge count of the knowledge graph</w:t>
            </w:r>
          </w:p>
        </w:tc>
      </w:tr>
      <w:tr>
        <w:tc>
          <w:tcPr>
            <w:tcW w:type="dxa" w:w="34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Distribution by edge type</w:t>
            </w:r>
          </w:p>
        </w:tc>
        <w:tc>
          <w:tcPr>
            <w:tcW w:type="dxa" w:w="12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w:t>
            </w:r>
          </w:p>
        </w:tc>
        <w:tc>
          <w:tcPr>
            <w:tcW w:type="dxa" w:w="13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w:t>
            </w:r>
          </w:p>
        </w:tc>
        <w:tc>
          <w:tcPr>
            <w:tcW w:type="dxa" w:w="3800"/>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[TO BE COMPLETED BY THE AUTHOR] Named edge types used by the four Stage 2 checks include the opioid_mme_factor attribute used for the morphine milligram equivalent calculation.</w:t>
            </w:r>
          </w:p>
        </w:tc>
      </w:tr>
    </w:tbl>
    <w:p>
      <w:pPr>
        <w:spacing w:after="80" w:before="240"/>
      </w:pPr>
      <w:r>
        <w:rPr>
          <w:rFonts w:ascii="Times New Roman" w:cs="Times New Roman" w:eastAsia="Times New Roman" w:hAnsi="Times New Roman"/>
          <w:b/>
          <w:bCs/>
          <w:sz w:val="20"/>
          <w:szCs w:val="20"/>
        </w:rPr>
        <w:t xml:space="preserve">Panel C. Platform, terminologies and sources</w:t>
      </w:r>
    </w:p>
    <w:tbl>
      <w:tblPr>
        <w:tblW w:type="dxa" w:w="9706"/>
        <w:tblBorders>
          <w:top w:val="single" w:color="auto" w:sz="4"/>
          <w:left w:val="single" w:color="auto" w:sz="4"/>
          <w:bottom w:val="single" w:color="auto" w:sz="4"/>
          <w:right w:val="single" w:color="auto" w:sz="4"/>
          <w:insideH w:val="single" w:color="auto" w:sz="4"/>
          <w:insideV w:val="single" w:color="auto" w:sz="4"/>
        </w:tblBorders>
      </w:tblPr>
      <w:tblGrid>
        <w:gridCol w:w="2524"/>
        <w:gridCol w:w="7182"/>
      </w:tblGrid>
      <w:tr>
        <w:trPr>
          <w:tblHeader/>
        </w:trPr>
        <w:tc>
          <w:tcPr>
            <w:tcW w:type="dxa" w:w="2524"/>
            <w:shd w:fill="DCE6F1" w:color="auto" w:val="clear"/>
            <w:tcMar>
              <w:top w:type="dxa" w:w="30"/>
              <w:left w:type="dxa" w:w="70"/>
              <w:bottom w:type="dxa" w:w="30"/>
              <w:right w:type="dxa" w:w="70"/>
            </w:tcMar>
          </w:tcPr>
          <w:p>
            <w:pPr>
              <w:spacing w:after="0"/>
              <w:jc w:val="center"/>
            </w:pPr>
            <w:r>
              <w:rPr>
                <w:rFonts w:ascii="Times New Roman" w:cs="Times New Roman" w:eastAsia="Times New Roman" w:hAnsi="Times New Roman"/>
                <w:b/>
                <w:bCs/>
                <w:sz w:val="20"/>
                <w:szCs w:val="20"/>
              </w:rPr>
              <w:t xml:space="preserve">Item</w:t>
            </w:r>
          </w:p>
        </w:tc>
        <w:tc>
          <w:tcPr>
            <w:tcW w:type="dxa" w:w="7182"/>
            <w:shd w:fill="DCE6F1" w:color="auto" w:val="clear"/>
            <w:tcMar>
              <w:top w:type="dxa" w:w="30"/>
              <w:left w:type="dxa" w:w="70"/>
              <w:bottom w:type="dxa" w:w="30"/>
              <w:right w:type="dxa" w:w="70"/>
            </w:tcMar>
          </w:tcPr>
          <w:p>
            <w:pPr>
              <w:spacing w:after="0"/>
              <w:jc w:val="center"/>
            </w:pPr>
            <w:r>
              <w:rPr>
                <w:rFonts w:ascii="Times New Roman" w:cs="Times New Roman" w:eastAsia="Times New Roman" w:hAnsi="Times New Roman"/>
                <w:b/>
                <w:bCs/>
                <w:sz w:val="20"/>
                <w:szCs w:val="20"/>
              </w:rPr>
              <w:t xml:space="preserve">Specification</w:t>
            </w:r>
          </w:p>
        </w:tc>
      </w:tr>
      <w:tr>
        <w:tc>
          <w:tcPr>
            <w:tcW w:type="dxa" w:w="2524"/>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Graph platform</w:t>
            </w:r>
          </w:p>
        </w:tc>
        <w:tc>
          <w:tcPr>
            <w:tcW w:type="dxa" w:w="7182"/>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Neo4j Community Edition v5.15.0</w:t>
            </w:r>
          </w:p>
        </w:tc>
      </w:tr>
      <w:tr>
        <w:tc>
          <w:tcPr>
            <w:tcW w:type="dxa" w:w="2524"/>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Construction period</w:t>
            </w:r>
          </w:p>
        </w:tc>
        <w:tc>
          <w:tcPr>
            <w:tcW w:type="dxa" w:w="7182"/>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12 weeks</w:t>
            </w:r>
          </w:p>
        </w:tc>
      </w:tr>
      <w:tr>
        <w:tc>
          <w:tcPr>
            <w:tcW w:type="dxa" w:w="2524"/>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Terminology mappings</w:t>
            </w:r>
          </w:p>
        </w:tc>
        <w:tc>
          <w:tcPr>
            <w:tcW w:type="dxa" w:w="7182"/>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SNOMED-CT International Edition July 2025, ICD-11 (WHO, 2025), WHO ATC Classification 2025, IASP Pain Taxonomy 2021 revision</w:t>
            </w:r>
          </w:p>
        </w:tc>
      </w:tr>
      <w:tr>
        <w:tc>
          <w:tcPr>
            <w:tcW w:type="dxa" w:w="2524"/>
            <w:tcMar>
              <w:top w:type="dxa" w:w="30"/>
              <w:left w:type="dxa" w:w="70"/>
              <w:bottom w:type="dxa" w:w="30"/>
              <w:right w:type="dxa" w:w="70"/>
            </w:tcMar>
          </w:tcPr>
          <w:p>
            <w:pPr>
              <w:spacing w:after="0"/>
              <w:jc w:val="center"/>
            </w:pPr>
            <w:r>
              <w:rPr>
                <w:rFonts w:ascii="Times New Roman" w:cs="Times New Roman" w:eastAsia="Times New Roman" w:hAnsi="Times New Roman"/>
                <w:b w:val="false"/>
                <w:bCs w:val="false"/>
                <w:sz w:val="20"/>
                <w:szCs w:val="20"/>
              </w:rPr>
              <w:t xml:space="preserve">Primary data sources</w:t>
            </w:r>
          </w:p>
        </w:tc>
        <w:tc>
          <w:tcPr>
            <w:tcW w:type="dxa" w:w="7182"/>
            <w:tcMar>
              <w:top w:type="dxa" w:w="30"/>
              <w:left w:type="dxa" w:w="70"/>
              <w:bottom w:type="dxa" w:w="30"/>
              <w:right w:type="dxa" w:w="70"/>
            </w:tcMar>
          </w:tcPr>
          <w:p>
            <w:pPr>
              <w:spacing w:after="0"/>
              <w:jc w:val="left"/>
            </w:pPr>
            <w:r>
              <w:rPr>
                <w:rFonts w:ascii="Times New Roman" w:cs="Times New Roman" w:eastAsia="Times New Roman" w:hAnsi="Times New Roman"/>
                <w:b w:val="false"/>
                <w:bCs w:val="false"/>
                <w:sz w:val="20"/>
                <w:szCs w:val="20"/>
              </w:rPr>
              <w:t xml:space="preserve">IASP, ACR, EULAR, AAN/NeuPSIG, ASRA and CDC guideline documents, the CDC Clinical Practice Guideline for Prescribing Opioids for Pain (Dowell et al., 2022), DrugBank v5.1.11 for drug interaction data including serotonergic interaction profiles, and expert-curated disease, symptom and mechanism mappings validated by consensus of two pain medicine specialists</w:t>
            </w:r>
          </w:p>
        </w:tc>
      </w:tr>
    </w:tbl>
    <w:p>
      <w:pPr>
        <w:spacing w:before="160"/>
        <w:jc w:val="both"/>
      </w:pPr>
      <w:r>
        <w:rPr>
          <w:rFonts w:ascii="Times New Roman" w:cs="Times New Roman" w:eastAsia="Times New Roman" w:hAnsi="Times New Roman"/>
          <w:sz w:val="18"/>
          <w:szCs w:val="18"/>
        </w:rPr>
        <w:t xml:space="preserve">The node counts are those stated in Section 2.3.2 of the manuscript and they sum exactly to the stated total of 52,418 nodes. Percentages are computed from those counts. The edge count of 203,672 is stated in the same section, but the manuscript does not break it down by edge type, so Panel B is left for the author.</w:t>
      </w:r>
    </w:p>
    <w:sectPr>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2026-10-03T18:29:31.019Z</dcterms:created>
  <dcterms:modified xsi:type="dcterms:W3CDTF">2026-10-03T18:29:31.019Z</dcterms:modified>
</cp:coreProperties>
</file>

<file path=docProps/custom.xml><?xml version="1.0" encoding="utf-8"?>
<Properties xmlns="http://schemas.openxmlformats.org/officeDocument/2006/custom-properties" xmlns:vt="http://schemas.openxmlformats.org/officeDocument/2006/docPropsVTypes"/>
</file>