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rFonts w:ascii="Times New Roman" w:cs="Times New Roman" w:eastAsia="Times New Roman" w:hAnsi="Times New Roman"/>
          <w:b/>
          <w:bCs/>
          <w:sz w:val="22"/>
          <w:szCs w:val="22"/>
        </w:rPr>
        <w:t xml:space="preserve">Supplementary Table S4. Vignette-level correctness of PainNS-Prove and of the 30-physician panel</w:t>
      </w:r>
    </w:p>
    <w:tbl>
      <w:tblPr>
        <w:tblW w:type="dxa" w:w="14638"/>
        <w:tblBorders>
          <w:top w:val="single" w:color="auto" w:sz="4"/>
          <w:left w:val="single" w:color="auto" w:sz="4"/>
          <w:bottom w:val="single" w:color="auto" w:sz="4"/>
          <w:right w:val="single" w:color="auto" w:sz="4"/>
          <w:insideH w:val="single" w:color="auto" w:sz="4"/>
          <w:insideV w:val="single" w:color="auto" w:sz="4"/>
        </w:tblBorders>
      </w:tblPr>
      <w:tblGrid>
        <w:gridCol w:w="1300"/>
        <w:gridCol w:w="1500"/>
        <w:gridCol w:w="2200"/>
        <w:gridCol w:w="2546"/>
        <w:gridCol w:w="2546"/>
        <w:gridCol w:w="2546"/>
        <w:gridCol w:w="2000"/>
      </w:tblGrid>
      <w:tr>
        <w:trPr>
          <w:tblHeader/>
        </w:trPr>
        <w:tc>
          <w:tcPr>
            <w:tcW w:type="dxa" w:w="1300"/>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Vignette</w:t>
            </w:r>
          </w:p>
        </w:tc>
        <w:tc>
          <w:tcPr>
            <w:tcW w:type="dxa" w:w="1500"/>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PainNS-Prove</w:t>
            </w:r>
          </w:p>
        </w:tc>
        <w:tc>
          <w:tcPr>
            <w:tcW w:type="dxa" w:w="2200"/>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Experts correct, n/30 (%)</w:t>
            </w:r>
          </w:p>
        </w:tc>
        <w:tc>
          <w:tcPr>
            <w:tcW w:type="dxa" w:w="2546"/>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PM&amp;R, n/10</w:t>
            </w:r>
          </w:p>
        </w:tc>
        <w:tc>
          <w:tcPr>
            <w:tcW w:type="dxa" w:w="2546"/>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Algology, n/10</w:t>
            </w:r>
          </w:p>
        </w:tc>
        <w:tc>
          <w:tcPr>
            <w:tcW w:type="dxa" w:w="2546"/>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Rheumatology, n/10</w:t>
            </w:r>
          </w:p>
        </w:tc>
        <w:tc>
          <w:tcPr>
            <w:tcW w:type="dxa" w:w="2000"/>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Paired difference, pp</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Q1</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30/30 (100.0)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+0.0</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Q2</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30/30 (100.0)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+0.0</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Q3</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23/30 (76.7)</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7/10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6/10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+23.3</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Q4</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18/30 (60.0)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6/10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5/10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7/10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+40.0</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Q5</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16/30 (53.3)</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5/10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7/10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4/10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+46.7</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Q6</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30/30 (100.0)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+0.0</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Q7</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18/30 (60.0)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5/10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9/10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4/10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+40.0</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Q8</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15/30 (50.0)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5/10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6/10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4/10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+50.0</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Q9</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30/30 (100.0)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+0.0</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Q10</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30/30 (100.0)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+0.0</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Q11</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30/30 (100.0)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+0.0</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Q12</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30/30 (100.0)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+0.0</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Q13</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20/30 (66.7)</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6/10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9/10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5/10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+33.3</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Q14</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30/30 (100.0)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+0.0</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Q15</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30/30 (100.0)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+0.0</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Q16</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0/30 (0.0)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+100.0</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Q17</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2/30 (6.7)</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2/10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+93.3</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Q18</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30/30 (100.0)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+0.0</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Q19</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30/30 (100.0)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+0.0</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Q20</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Incorrect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20/30 (66.7)</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6/10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4/10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−66.7</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Q21</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0/30 (0.0)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+100.0</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Q22</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Incorrect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21/30 (70.0)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6/10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8/10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7/10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−70.0</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Q23</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30/30 (100.0)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+0.0</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Q24</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30/30 (100.0)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+0.0</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Q25</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30/30 (100.0)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+0.0</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Q26</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Incorrect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21/30 (70.0)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7/10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6/10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8/10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−70.0</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Q27</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29/30 (96.7)</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9/10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+3.3</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Q28</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21/30 (70.0)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7/10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8/10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6/10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+30.0</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Q29</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30/30 (100.0)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+0.0</w:t>
            </w:r>
          </w:p>
        </w:tc>
      </w:tr>
      <w:tr>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Q30</w:t>
            </w:r>
          </w:p>
        </w:tc>
        <w:tc>
          <w:tcPr>
            <w:tcW w:type="dxa" w:w="15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Correct</w:t>
            </w:r>
          </w:p>
        </w:tc>
        <w:tc>
          <w:tcPr>
            <w:tcW w:type="dxa" w:w="2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28/30 (93.3)</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9/10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10/10</w:t>
            </w:r>
          </w:p>
        </w:tc>
        <w:tc>
          <w:tcPr>
            <w:tcW w:type="dxa" w:w="2546"/>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9/10</w:t>
            </w:r>
          </w:p>
        </w:tc>
        <w:tc>
          <w:tcPr>
            <w:tcW w:type="dxa" w:w="20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+6.7</w:t>
            </w:r>
          </w:p>
        </w:tc>
      </w:tr>
    </w:tbl>
    <w:p>
      <w:pPr>
        <w:spacing w:before="160"/>
        <w:jc w:val="both"/>
      </w:pPr>
      <w:r>
        <w:rPr>
          <w:rFonts w:ascii="Times New Roman" w:cs="Times New Roman" w:eastAsia="Times New Roman" w:hAnsi="Times New Roman"/>
          <w:sz w:val="18"/>
          <w:szCs w:val="18"/>
        </w:rPr>
        <w:t xml:space="preserve">System: 27 of 30 correct (90.0%). Experts: mean of the 30 rater-level accuracies 78.0% (SD 6.9%). The paired difference for each vignette is the correctness of the system (1 or 0) minus the proportion of the 30 experts who answered correctly, expressed in percentage points (pp); its mean is +12.0 pp and its standard deviation is 41.2 pp. These values are the input to the sensitivity analyses in Section 2.5.1 and Table 5. The full 30 by 30 response matrix with opaque rater identifiers, the error adjudication log and the analysis code are provided in Supplementary File S5.</w:t>
      </w:r>
    </w:p>
    <w:sectPr>
      <w:pgSz w:w="16838" w:h="11906" w:orient="landscape"/>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2026-10-03T18:28:04.691Z</dcterms:created>
  <dcterms:modified xsi:type="dcterms:W3CDTF">2026-10-03T18:28:04.691Z</dcterms:modified>
</cp:coreProperties>
</file>

<file path=docProps/custom.xml><?xml version="1.0" encoding="utf-8"?>
<Properties xmlns="http://schemas.openxmlformats.org/officeDocument/2006/custom-properties" xmlns:vt="http://schemas.openxmlformats.org/officeDocument/2006/docPropsVTypes"/>
</file>