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C0C" w:rsidRDefault="00451C0C" w:rsidP="00451C0C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802C3">
        <w:rPr>
          <w:rFonts w:ascii="Arial" w:hAnsi="Arial" w:cs="Arial"/>
          <w:sz w:val="24"/>
          <w:szCs w:val="24"/>
        </w:rPr>
        <w:t>Differences in burst suppression during induction, pre-CPB, and CPB according to the development of POD are also presented (</w:t>
      </w:r>
      <w:r w:rsidRPr="005802C3">
        <w:rPr>
          <w:rFonts w:ascii="Arial" w:hAnsi="Arial" w:cs="Arial"/>
          <w:b/>
          <w:bCs/>
          <w:sz w:val="24"/>
          <w:szCs w:val="24"/>
        </w:rPr>
        <w:t>Supplemental Table 1</w:t>
      </w:r>
      <w:r w:rsidRPr="005802C3">
        <w:rPr>
          <w:rFonts w:ascii="Arial" w:hAnsi="Arial" w:cs="Arial"/>
          <w:sz w:val="24"/>
          <w:szCs w:val="24"/>
        </w:rPr>
        <w:t xml:space="preserve"> and </w:t>
      </w:r>
      <w:r w:rsidRPr="005802C3">
        <w:rPr>
          <w:rFonts w:ascii="Arial" w:hAnsi="Arial" w:cs="Arial"/>
          <w:b/>
          <w:bCs/>
          <w:sz w:val="24"/>
          <w:szCs w:val="24"/>
        </w:rPr>
        <w:t>Supplemental Fig. 1</w:t>
      </w:r>
      <w:r w:rsidRPr="005802C3">
        <w:rPr>
          <w:rFonts w:ascii="Arial" w:hAnsi="Arial" w:cs="Arial"/>
          <w:sz w:val="24"/>
          <w:szCs w:val="24"/>
        </w:rPr>
        <w:t>).</w:t>
      </w:r>
    </w:p>
    <w:tbl>
      <w:tblPr>
        <w:tblStyle w:val="Table"/>
        <w:tblW w:w="9148" w:type="dxa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584"/>
        <w:gridCol w:w="1530"/>
        <w:gridCol w:w="1644"/>
        <w:gridCol w:w="1442"/>
        <w:gridCol w:w="948"/>
      </w:tblGrid>
      <w:tr w:rsidR="00451C0C" w:rsidRPr="005802C3" w:rsidTr="00CF4D30">
        <w:trPr>
          <w:cantSplit/>
          <w:trHeight w:val="737"/>
          <w:tblHeader/>
          <w:jc w:val="center"/>
        </w:trPr>
        <w:tc>
          <w:tcPr>
            <w:tcW w:w="914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51C0C" w:rsidRPr="00F34573" w:rsidRDefault="00451C0C" w:rsidP="00CF4D30">
            <w:pPr>
              <w:keepNext/>
              <w:spacing w:after="60"/>
              <w:jc w:val="both"/>
              <w:rPr>
                <w:rFonts w:ascii="Arial" w:hAnsi="Arial" w:cs="Arial"/>
                <w:b/>
                <w:sz w:val="20"/>
              </w:rPr>
            </w:pPr>
            <w:r w:rsidRPr="00F34573">
              <w:rPr>
                <w:rFonts w:ascii="Arial" w:hAnsi="Arial" w:cs="Arial"/>
                <w:b/>
                <w:bCs/>
                <w:sz w:val="20"/>
                <w:szCs w:val="20"/>
              </w:rPr>
              <w:t>Supplementary Table 1</w:t>
            </w:r>
            <w:r w:rsidRPr="00F34573">
              <w:rPr>
                <w:rFonts w:ascii="Arial" w:hAnsi="Arial" w:cs="Arial"/>
                <w:sz w:val="20"/>
                <w:szCs w:val="20"/>
              </w:rPr>
              <w:t>. Burst suppression during induction, pre-cardiopulmonary bypass, and cardiopulmonary bypass, according to the development of postoperative delirium (POD) in the EEG-Analytic Cohort</w:t>
            </w:r>
          </w:p>
        </w:tc>
      </w:tr>
      <w:tr w:rsidR="00451C0C" w:rsidRPr="005802C3" w:rsidTr="00CF4D30">
        <w:trPr>
          <w:cantSplit/>
          <w:trHeight w:val="809"/>
          <w:tblHeader/>
          <w:jc w:val="center"/>
        </w:trPr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451C0C" w:rsidRPr="005802C3" w:rsidRDefault="00451C0C" w:rsidP="00CF4D30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12" w:space="0" w:color="auto"/>
            </w:tcBorders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5802C3">
              <w:rPr>
                <w:rFonts w:ascii="Arial" w:hAnsi="Arial" w:cs="Arial"/>
                <w:b/>
                <w:sz w:val="20"/>
              </w:rPr>
              <w:t>Total</w:t>
            </w:r>
          </w:p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 xml:space="preserve"> N = 62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12" w:space="0" w:color="auto"/>
            </w:tcBorders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5802C3">
              <w:rPr>
                <w:rFonts w:ascii="Arial" w:hAnsi="Arial" w:cs="Arial"/>
                <w:b/>
                <w:sz w:val="20"/>
              </w:rPr>
              <w:t>Negative POD</w:t>
            </w:r>
          </w:p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 xml:space="preserve"> N = 32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12" w:space="0" w:color="auto"/>
            </w:tcBorders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5802C3">
              <w:rPr>
                <w:rFonts w:ascii="Arial" w:hAnsi="Arial" w:cs="Arial"/>
                <w:b/>
                <w:sz w:val="20"/>
              </w:rPr>
              <w:t>Positive POD</w:t>
            </w:r>
          </w:p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 xml:space="preserve"> N = 30</w:t>
            </w:r>
          </w:p>
        </w:tc>
        <w:tc>
          <w:tcPr>
            <w:tcW w:w="94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b/>
                <w:sz w:val="20"/>
              </w:rPr>
              <w:t>p-value</w:t>
            </w:r>
          </w:p>
        </w:tc>
      </w:tr>
      <w:tr w:rsidR="00451C0C" w:rsidRPr="005802C3" w:rsidTr="00CF4D30">
        <w:trPr>
          <w:cantSplit/>
          <w:trHeight w:val="751"/>
          <w:jc w:val="center"/>
        </w:trPr>
        <w:tc>
          <w:tcPr>
            <w:tcW w:w="358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51C0C" w:rsidRPr="00E73567" w:rsidRDefault="00451C0C" w:rsidP="00CF4D30">
            <w:pPr>
              <w:keepNext/>
              <w:spacing w:after="60"/>
              <w:rPr>
                <w:rFonts w:ascii="Arial" w:hAnsi="Arial" w:cs="Arial"/>
              </w:rPr>
            </w:pPr>
            <w:r w:rsidRPr="00E73567">
              <w:rPr>
                <w:rFonts w:ascii="Arial" w:hAnsi="Arial" w:cs="Arial"/>
                <w:b/>
                <w:sz w:val="20"/>
              </w:rPr>
              <w:t>Post Induction Burst suppression, Median (</w:t>
            </w:r>
            <w:r w:rsidRPr="00E73567">
              <w:rPr>
                <w:rFonts w:ascii="Arial" w:hAnsi="Arial" w:cs="Arial"/>
                <w:b/>
                <w:bCs/>
                <w:sz w:val="20"/>
                <w:szCs w:val="20"/>
              </w:rPr>
              <w:t>1Q, 3Q</w:t>
            </w:r>
            <w:r w:rsidRPr="00E73567">
              <w:rPr>
                <w:rFonts w:ascii="Arial" w:hAnsi="Arial" w:cs="Arial"/>
                <w:b/>
                <w:sz w:val="20"/>
              </w:rPr>
              <w:t>), %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0.73 (0.14, 1.64)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0.62 (0.06, 1.55)</w:t>
            </w:r>
          </w:p>
        </w:tc>
        <w:tc>
          <w:tcPr>
            <w:tcW w:w="1442" w:type="dxa"/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0.92 (0.19, 2.01)</w:t>
            </w:r>
          </w:p>
        </w:tc>
        <w:tc>
          <w:tcPr>
            <w:tcW w:w="948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  <w:vertAlign w:val="superscript"/>
              </w:rPr>
            </w:pPr>
            <w:r w:rsidRPr="005802C3">
              <w:rPr>
                <w:rFonts w:ascii="Arial" w:hAnsi="Arial" w:cs="Arial"/>
                <w:sz w:val="20"/>
              </w:rPr>
              <w:t>0.3</w:t>
            </w:r>
            <w:r w:rsidRPr="005A648A">
              <w:rPr>
                <w:rFonts w:ascii="Arial" w:hAnsi="Arial" w:cs="Arial"/>
                <w:i/>
                <w:iCs/>
                <w:sz w:val="20"/>
                <w:vertAlign w:val="superscript"/>
              </w:rPr>
              <w:t>1</w:t>
            </w:r>
          </w:p>
        </w:tc>
      </w:tr>
      <w:tr w:rsidR="00451C0C" w:rsidRPr="005802C3" w:rsidTr="00CF4D30">
        <w:trPr>
          <w:cantSplit/>
          <w:trHeight w:val="525"/>
          <w:jc w:val="center"/>
        </w:trPr>
        <w:tc>
          <w:tcPr>
            <w:tcW w:w="3584" w:type="dxa"/>
            <w:tcBorders>
              <w:left w:val="single" w:sz="4" w:space="0" w:color="auto"/>
            </w:tcBorders>
          </w:tcPr>
          <w:p w:rsidR="00451C0C" w:rsidRPr="00E73567" w:rsidRDefault="00451C0C" w:rsidP="00CF4D30">
            <w:pPr>
              <w:keepNext/>
              <w:spacing w:after="60"/>
              <w:rPr>
                <w:rFonts w:ascii="Arial" w:hAnsi="Arial" w:cs="Arial"/>
                <w:lang w:val="en-NZ"/>
              </w:rPr>
            </w:pPr>
            <w:proofErr w:type="gramStart"/>
            <w:r w:rsidRPr="00E73567">
              <w:rPr>
                <w:rFonts w:ascii="Arial" w:hAnsi="Arial" w:cs="Arial"/>
                <w:b/>
                <w:sz w:val="20"/>
                <w:lang w:val="en-NZ"/>
              </w:rPr>
              <w:t>Pre CPB Burst</w:t>
            </w:r>
            <w:proofErr w:type="gramEnd"/>
            <w:r w:rsidRPr="00E73567">
              <w:rPr>
                <w:rFonts w:ascii="Arial" w:hAnsi="Arial" w:cs="Arial"/>
                <w:b/>
                <w:sz w:val="20"/>
                <w:lang w:val="en-NZ"/>
              </w:rPr>
              <w:t xml:space="preserve"> suppression, Median (</w:t>
            </w:r>
            <w:r w:rsidRPr="00E73567">
              <w:rPr>
                <w:rFonts w:ascii="Arial" w:hAnsi="Arial" w:cs="Arial"/>
                <w:b/>
                <w:bCs/>
                <w:sz w:val="20"/>
                <w:szCs w:val="20"/>
              </w:rPr>
              <w:t>1Q, 3Q</w:t>
            </w:r>
            <w:r w:rsidRPr="00E73567">
              <w:rPr>
                <w:rFonts w:ascii="Arial" w:hAnsi="Arial" w:cs="Arial"/>
                <w:b/>
                <w:sz w:val="20"/>
                <w:lang w:val="en-NZ"/>
              </w:rPr>
              <w:t>), %</w:t>
            </w:r>
          </w:p>
        </w:tc>
        <w:tc>
          <w:tcPr>
            <w:tcW w:w="1530" w:type="dxa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0.2 (0.0, 1.8)</w:t>
            </w:r>
          </w:p>
        </w:tc>
        <w:tc>
          <w:tcPr>
            <w:tcW w:w="1644" w:type="dxa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0.1 (0.0, 1.1)</w:t>
            </w:r>
          </w:p>
        </w:tc>
        <w:tc>
          <w:tcPr>
            <w:tcW w:w="1442" w:type="dxa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0.6 (0.1, 5.7)</w:t>
            </w:r>
          </w:p>
        </w:tc>
        <w:tc>
          <w:tcPr>
            <w:tcW w:w="948" w:type="dxa"/>
            <w:tcBorders>
              <w:right w:val="single" w:sz="4" w:space="0" w:color="auto"/>
            </w:tcBorders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b/>
                <w:sz w:val="20"/>
              </w:rPr>
              <w:t>0.045</w:t>
            </w:r>
            <w:r w:rsidRPr="005A648A">
              <w:rPr>
                <w:rFonts w:ascii="Arial" w:hAnsi="Arial" w:cs="Arial"/>
                <w:i/>
                <w:iCs/>
                <w:sz w:val="20"/>
                <w:vertAlign w:val="superscript"/>
              </w:rPr>
              <w:t>1</w:t>
            </w:r>
          </w:p>
        </w:tc>
      </w:tr>
      <w:tr w:rsidR="00451C0C" w:rsidRPr="005802C3" w:rsidTr="00CF4D30">
        <w:trPr>
          <w:cantSplit/>
          <w:trHeight w:val="311"/>
          <w:jc w:val="center"/>
        </w:trPr>
        <w:tc>
          <w:tcPr>
            <w:tcW w:w="358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51C0C" w:rsidRPr="00E73567" w:rsidRDefault="00451C0C" w:rsidP="00CF4D30">
            <w:pPr>
              <w:keepNext/>
              <w:spacing w:after="60"/>
              <w:rPr>
                <w:rFonts w:ascii="Arial" w:hAnsi="Arial" w:cs="Arial"/>
              </w:rPr>
            </w:pPr>
            <w:r w:rsidRPr="00E73567">
              <w:rPr>
                <w:rFonts w:ascii="Arial" w:hAnsi="Arial" w:cs="Arial"/>
                <w:sz w:val="20"/>
              </w:rPr>
              <w:t>    Unknown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442" w:type="dxa"/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948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</w:tr>
      <w:tr w:rsidR="00451C0C" w:rsidRPr="005802C3" w:rsidTr="00CF4D30">
        <w:trPr>
          <w:cantSplit/>
          <w:trHeight w:val="525"/>
          <w:jc w:val="center"/>
        </w:trPr>
        <w:tc>
          <w:tcPr>
            <w:tcW w:w="3584" w:type="dxa"/>
            <w:tcBorders>
              <w:left w:val="single" w:sz="4" w:space="0" w:color="auto"/>
            </w:tcBorders>
          </w:tcPr>
          <w:p w:rsidR="00451C0C" w:rsidRPr="00E73567" w:rsidRDefault="00451C0C" w:rsidP="00CF4D30">
            <w:pPr>
              <w:keepNext/>
              <w:spacing w:after="60"/>
              <w:rPr>
                <w:rFonts w:ascii="Arial" w:hAnsi="Arial" w:cs="Arial"/>
              </w:rPr>
            </w:pPr>
            <w:r w:rsidRPr="00E73567">
              <w:rPr>
                <w:rFonts w:ascii="Arial" w:hAnsi="Arial" w:cs="Arial"/>
                <w:b/>
                <w:sz w:val="20"/>
              </w:rPr>
              <w:t>CPB Burst suppression, Median (</w:t>
            </w:r>
            <w:r w:rsidRPr="00E73567">
              <w:rPr>
                <w:rFonts w:ascii="Arial" w:hAnsi="Arial" w:cs="Arial"/>
                <w:b/>
                <w:bCs/>
                <w:sz w:val="20"/>
                <w:szCs w:val="20"/>
              </w:rPr>
              <w:t>1Q, 3Q</w:t>
            </w:r>
            <w:r w:rsidRPr="00E73567">
              <w:rPr>
                <w:rFonts w:ascii="Arial" w:hAnsi="Arial" w:cs="Arial"/>
                <w:b/>
                <w:sz w:val="20"/>
              </w:rPr>
              <w:t>), %</w:t>
            </w:r>
          </w:p>
        </w:tc>
        <w:tc>
          <w:tcPr>
            <w:tcW w:w="1530" w:type="dxa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1 (0, 6)</w:t>
            </w:r>
          </w:p>
        </w:tc>
        <w:tc>
          <w:tcPr>
            <w:tcW w:w="1644" w:type="dxa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1 (0, 6)</w:t>
            </w:r>
          </w:p>
        </w:tc>
        <w:tc>
          <w:tcPr>
            <w:tcW w:w="1442" w:type="dxa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3 (1, 7)</w:t>
            </w:r>
          </w:p>
        </w:tc>
        <w:tc>
          <w:tcPr>
            <w:tcW w:w="948" w:type="dxa"/>
            <w:tcBorders>
              <w:right w:val="single" w:sz="4" w:space="0" w:color="auto"/>
            </w:tcBorders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0.080</w:t>
            </w:r>
            <w:r w:rsidRPr="005A648A">
              <w:rPr>
                <w:rFonts w:ascii="Arial" w:hAnsi="Arial" w:cs="Arial"/>
                <w:i/>
                <w:iCs/>
                <w:sz w:val="20"/>
                <w:vertAlign w:val="superscript"/>
              </w:rPr>
              <w:t>1</w:t>
            </w:r>
          </w:p>
        </w:tc>
      </w:tr>
      <w:tr w:rsidR="00451C0C" w:rsidRPr="005802C3" w:rsidTr="00CF4D30">
        <w:trPr>
          <w:cantSplit/>
          <w:trHeight w:val="311"/>
          <w:jc w:val="center"/>
        </w:trPr>
        <w:tc>
          <w:tcPr>
            <w:tcW w:w="35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    Unknown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5802C3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9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51C0C" w:rsidRPr="005802C3" w:rsidRDefault="00451C0C" w:rsidP="00CF4D30">
            <w:pPr>
              <w:keepNext/>
              <w:spacing w:after="60"/>
              <w:jc w:val="center"/>
              <w:rPr>
                <w:rFonts w:ascii="Arial" w:hAnsi="Arial" w:cs="Arial"/>
              </w:rPr>
            </w:pPr>
          </w:p>
        </w:tc>
      </w:tr>
    </w:tbl>
    <w:p w:rsidR="00451C0C" w:rsidRPr="007A30AE" w:rsidRDefault="00451C0C" w:rsidP="00451C0C">
      <w:pPr>
        <w:spacing w:line="480" w:lineRule="auto"/>
        <w:jc w:val="both"/>
        <w:rPr>
          <w:rFonts w:ascii="Arial" w:hAnsi="Arial" w:cs="Arial"/>
          <w:color w:val="FF0000"/>
          <w:sz w:val="18"/>
          <w:szCs w:val="18"/>
        </w:rPr>
      </w:pPr>
      <w:r w:rsidRPr="002F014C">
        <w:rPr>
          <w:rFonts w:ascii="Arial" w:hAnsi="Arial" w:cs="Arial"/>
          <w:sz w:val="18"/>
          <w:szCs w:val="18"/>
        </w:rPr>
        <w:t>Values are presented</w:t>
      </w:r>
      <w:r>
        <w:rPr>
          <w:rFonts w:ascii="Arial" w:hAnsi="Arial" w:cs="Arial"/>
          <w:sz w:val="18"/>
          <w:szCs w:val="18"/>
        </w:rPr>
        <w:t xml:space="preserve"> as</w:t>
      </w:r>
      <w:r w:rsidRPr="002F014C">
        <w:rPr>
          <w:rFonts w:ascii="Arial" w:hAnsi="Arial" w:cs="Arial"/>
          <w:sz w:val="18"/>
          <w:szCs w:val="18"/>
        </w:rPr>
        <w:t xml:space="preserve"> median (1Q, 3Q). </w:t>
      </w:r>
      <w:r w:rsidRPr="005A648A">
        <w:rPr>
          <w:rFonts w:ascii="Arial" w:hAnsi="Arial" w:cs="Arial"/>
          <w:sz w:val="18"/>
          <w:szCs w:val="18"/>
        </w:rPr>
        <w:t xml:space="preserve">POD: Post-operative delirium; OR: Odds-ratio; CI: Confidence interval; CPB: Cardiopulmonary bypass. </w:t>
      </w:r>
      <w:r w:rsidRPr="005A648A">
        <w:rPr>
          <w:rFonts w:ascii="Arial" w:hAnsi="Arial" w:cs="Arial"/>
          <w:i/>
          <w:iCs/>
          <w:sz w:val="18"/>
          <w:szCs w:val="18"/>
          <w:vertAlign w:val="superscript"/>
        </w:rPr>
        <w:t>1</w:t>
      </w:r>
      <w:r w:rsidRPr="005A648A">
        <w:rPr>
          <w:rFonts w:ascii="Arial" w:hAnsi="Arial" w:cs="Arial"/>
          <w:i/>
          <w:iCs/>
          <w:sz w:val="18"/>
          <w:szCs w:val="18"/>
        </w:rPr>
        <w:t>Wilcoxon rank sum test.</w:t>
      </w:r>
      <w:r>
        <w:rPr>
          <w:rFonts w:ascii="Arial" w:hAnsi="Arial" w:cs="Arial"/>
          <w:sz w:val="18"/>
          <w:szCs w:val="18"/>
        </w:rPr>
        <w:t xml:space="preserve"> </w:t>
      </w:r>
      <w:r w:rsidRPr="00E73567">
        <w:rPr>
          <w:rFonts w:ascii="Arial" w:hAnsi="Arial" w:cs="Arial"/>
          <w:sz w:val="18"/>
          <w:szCs w:val="18"/>
        </w:rPr>
        <w:t>Burst suppression is quantified as a percentage (%) of the total epoch’s time spent in isoelectric state (absolute amplitude equal or less than 5</w:t>
      </w:r>
      <w:r>
        <w:rPr>
          <w:rFonts w:ascii="Arial" w:hAnsi="Arial" w:cs="Arial"/>
          <w:sz w:val="18"/>
          <w:szCs w:val="18"/>
        </w:rPr>
        <w:t>μV</w:t>
      </w:r>
      <w:r w:rsidRPr="00E73567">
        <w:rPr>
          <w:rFonts w:ascii="Arial" w:hAnsi="Arial" w:cs="Arial"/>
          <w:sz w:val="18"/>
          <w:szCs w:val="18"/>
        </w:rPr>
        <w:t>, positive or negative).</w:t>
      </w:r>
      <w:r>
        <w:rPr>
          <w:rFonts w:ascii="Arial" w:hAnsi="Arial" w:cs="Arial"/>
          <w:color w:val="FF0000"/>
          <w:sz w:val="18"/>
          <w:szCs w:val="18"/>
        </w:rPr>
        <w:t xml:space="preserve"> </w:t>
      </w:r>
    </w:p>
    <w:p w:rsidR="00451C0C" w:rsidRPr="00B72BC0" w:rsidRDefault="00451C0C" w:rsidP="00451C0C">
      <w:pPr>
        <w:spacing w:line="360" w:lineRule="auto"/>
        <w:jc w:val="both"/>
        <w:rPr>
          <w:rFonts w:ascii="Arial" w:hAnsi="Arial" w:cs="Arial"/>
          <w:color w:val="EE0000"/>
          <w:sz w:val="24"/>
          <w:szCs w:val="24"/>
        </w:rPr>
      </w:pPr>
      <w:r w:rsidRPr="00460B61">
        <w:rPr>
          <w:rFonts w:ascii="Arial" w:hAnsi="Arial" w:cs="Arial"/>
          <w:sz w:val="18"/>
          <w:szCs w:val="18"/>
        </w:rPr>
        <w:t>Boxplots showing burst suppression (%) dur</w:t>
      </w:r>
      <w:r>
        <w:rPr>
          <w:rFonts w:ascii="Arial" w:hAnsi="Arial" w:cs="Arial"/>
          <w:sz w:val="18"/>
          <w:szCs w:val="18"/>
        </w:rPr>
        <w:t xml:space="preserve">ing post </w:t>
      </w:r>
      <w:r w:rsidRPr="00460B61">
        <w:rPr>
          <w:rFonts w:ascii="Arial" w:hAnsi="Arial" w:cs="Arial"/>
          <w:sz w:val="18"/>
          <w:szCs w:val="18"/>
        </w:rPr>
        <w:t>induction, pre-cardiopulmonary bypass, and cardiopulmonary bypass</w:t>
      </w:r>
      <w:r>
        <w:rPr>
          <w:rFonts w:ascii="Arial" w:hAnsi="Arial" w:cs="Arial"/>
          <w:sz w:val="18"/>
          <w:szCs w:val="18"/>
        </w:rPr>
        <w:t>,</w:t>
      </w:r>
      <w:r w:rsidRPr="00460B61">
        <w:rPr>
          <w:rFonts w:ascii="Arial" w:hAnsi="Arial" w:cs="Arial"/>
          <w:sz w:val="18"/>
          <w:szCs w:val="18"/>
        </w:rPr>
        <w:t xml:space="preserve"> grouped by </w:t>
      </w:r>
      <w:r>
        <w:rPr>
          <w:rFonts w:ascii="Arial" w:hAnsi="Arial" w:cs="Arial"/>
          <w:sz w:val="18"/>
          <w:szCs w:val="18"/>
        </w:rPr>
        <w:t xml:space="preserve">POD in </w:t>
      </w:r>
      <w:r w:rsidRPr="00F34573">
        <w:rPr>
          <w:rFonts w:ascii="Arial" w:hAnsi="Arial" w:cs="Arial"/>
          <w:sz w:val="18"/>
          <w:szCs w:val="18"/>
        </w:rPr>
        <w:t>the EEG-Analytic Cohort.</w:t>
      </w:r>
      <w:r w:rsidRPr="00460B61">
        <w:rPr>
          <w:rFonts w:ascii="Arial" w:hAnsi="Arial" w:cs="Arial"/>
          <w:sz w:val="18"/>
          <w:szCs w:val="18"/>
        </w:rPr>
        <w:t xml:space="preserve"> Abbreviations: POD: Post-operative delirium; CPB: Cardio-pulmonary bypass. * p-value &lt; 0.05 Wilcoxon rank sum test.</w:t>
      </w:r>
      <w:r w:rsidRPr="00460B6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AFCFF5A" wp14:editId="06DCFF9B">
            <wp:simplePos x="0" y="0"/>
            <wp:positionH relativeFrom="column">
              <wp:posOffset>0</wp:posOffset>
            </wp:positionH>
            <wp:positionV relativeFrom="paragraph">
              <wp:posOffset>-144780</wp:posOffset>
            </wp:positionV>
            <wp:extent cx="5937250" cy="3193415"/>
            <wp:effectExtent l="0" t="0" r="0" b="0"/>
            <wp:wrapTight wrapText="bothSides">
              <wp:wrapPolygon edited="0">
                <wp:start x="0" y="0"/>
                <wp:lineTo x="0" y="21518"/>
                <wp:lineTo x="21554" y="21518"/>
                <wp:lineTo x="21554" y="0"/>
                <wp:lineTo x="0" y="0"/>
              </wp:wrapPolygon>
            </wp:wrapTight>
            <wp:docPr id="1670389054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19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18"/>
          <w:szCs w:val="18"/>
        </w:rPr>
        <w:t xml:space="preserve"> </w:t>
      </w:r>
      <w:r w:rsidRPr="00E73567">
        <w:rPr>
          <w:rFonts w:ascii="Arial" w:hAnsi="Arial" w:cs="Arial"/>
          <w:sz w:val="18"/>
          <w:szCs w:val="18"/>
        </w:rPr>
        <w:t>Burst suppression during pre-cardiopulmonary bypass was higher in patients presenting POD.</w:t>
      </w:r>
    </w:p>
    <w:p w:rsidR="00A10484" w:rsidRDefault="00A10484">
      <w:bookmarkStart w:id="0" w:name="_GoBack"/>
      <w:bookmarkEnd w:id="0"/>
    </w:p>
    <w:sectPr w:rsidR="00A104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C0C"/>
    <w:rsid w:val="00451C0C"/>
    <w:rsid w:val="00A1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8DB95B-5404-4C20-A10B-2116537A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C0C"/>
    <w:pPr>
      <w:suppressAutoHyphens/>
    </w:pPr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">
    <w:name w:val="Table"/>
    <w:semiHidden/>
    <w:unhideWhenUsed/>
    <w:qFormat/>
    <w:rsid w:val="00451C0C"/>
    <w:pPr>
      <w:spacing w:after="200" w:line="240" w:lineRule="auto"/>
    </w:pPr>
    <w:rPr>
      <w:sz w:val="24"/>
      <w:szCs w:val="24"/>
      <w:lang w:val="es-CL" w:eastAsia="es-C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Ashish Bisht1</dc:creator>
  <cp:keywords/>
  <dc:description/>
  <cp:lastModifiedBy>Ashish Bisht1</cp:lastModifiedBy>
  <cp:revision>1</cp:revision>
  <dcterms:created xsi:type="dcterms:W3CDTF">2026-10-12T02:01:00Z</dcterms:created>
  <dcterms:modified xsi:type="dcterms:W3CDTF">2026-10-12T02:04:00Z</dcterms:modified>
</cp:coreProperties>
</file>