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18"/>
        </w:rPr>
        <w:t>CONSORT 2010 Checklist</w:t>
      </w:r>
    </w:p>
    <w:p>
      <w:pPr>
        <w:jc w:val="center"/>
      </w:pPr>
      <w:r>
        <w:rPr>
          <w:rFonts w:ascii="Arial" w:hAnsi="Arial"/>
          <w:sz w:val="18"/>
        </w:rPr>
        <w:t>Manuscript: Effect of 6% versus 8% sevoflurane vaporizer settings during mask induction on emergence delirium in children undergoing chalazion surgery: a randomized controlled trial</w:t>
      </w:r>
    </w:p>
    <w:p>
      <w:pPr>
        <w:spacing w:after="120"/>
      </w:pPr>
      <w:r>
        <w:t>Completed for revision submission in accordance with the BMC Anesthesiology research-article instructions (CONSORT 2010). Page references correspond to the final double-spaced clean and marked manuscript (23 pages).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073"/>
        <w:gridCol w:w="3073"/>
        <w:gridCol w:w="3073"/>
        <w:gridCol w:w="3073"/>
        <w:gridCol w:w="3073"/>
      </w:tblGrid>
      <w:tr>
        <w:tc>
          <w:tcPr>
            <w:tcW w:type="dxa" w:w="1701"/>
            <w:shd w:fill="D9EAF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/>
                <w:sz w:val="17"/>
              </w:rPr>
              <w:t>Section/topic</w:t>
            </w:r>
          </w:p>
        </w:tc>
        <w:tc>
          <w:tcPr>
            <w:tcW w:type="dxa" w:w="737"/>
            <w:shd w:fill="D9EAF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/>
                <w:sz w:val="17"/>
              </w:rPr>
              <w:t>Item</w:t>
            </w:r>
          </w:p>
        </w:tc>
        <w:tc>
          <w:tcPr>
            <w:tcW w:type="dxa" w:w="4989"/>
            <w:shd w:fill="D9EAF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/>
                <w:sz w:val="17"/>
              </w:rPr>
              <w:t>Checklist item</w:t>
            </w:r>
          </w:p>
        </w:tc>
        <w:tc>
          <w:tcPr>
            <w:tcW w:type="dxa" w:w="1701"/>
            <w:shd w:fill="D9EAF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/>
                <w:sz w:val="17"/>
              </w:rPr>
              <w:t>Reported on page/section</w:t>
            </w:r>
          </w:p>
        </w:tc>
        <w:tc>
          <w:tcPr>
            <w:tcW w:type="dxa" w:w="6236"/>
            <w:shd w:fill="D9EAF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/>
                <w:sz w:val="17"/>
              </w:rPr>
              <w:t>Information reported / notes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Title and abstract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Identification as a randomised trial in the title.</w:t>
            </w:r>
          </w:p>
        </w:tc>
        <w:tc>
          <w:tcPr>
            <w:tcW w:type="dxa" w:w="1701"/>
            <w:vAlign w:val="top"/>
          </w:tcPr>
          <w:p>
            <w:r>
              <w:t>Title, p. 1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Title identifies the study as a randomized trial.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Title and abstract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Structured summary of trial design, methods, results, and conclusions.</w:t>
            </w:r>
          </w:p>
        </w:tc>
        <w:tc>
          <w:tcPr>
            <w:tcW w:type="dxa" w:w="1701"/>
            <w:vAlign w:val="top"/>
          </w:tcPr>
          <w:p>
            <w:r>
              <w:t>Abstract, pp. 1–2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Structured abstract reports background, methods, main results, conclusions, and trial registration.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Introduction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Scientific background and explanation of rationale.</w:t>
            </w:r>
          </w:p>
        </w:tc>
        <w:tc>
          <w:tcPr>
            <w:tcW w:type="dxa" w:w="1701"/>
            <w:vAlign w:val="top"/>
          </w:tcPr>
          <w:p>
            <w:r>
              <w:t>Background, pp. 2–3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Scientific background, ED/PAED context, sevoflurane exposure, ophthalmic setting, and rationale are described.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Introduction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Specific objectives or hypotheses.</w:t>
            </w:r>
          </w:p>
        </w:tc>
        <w:tc>
          <w:tcPr>
            <w:tcW w:type="dxa" w:w="1701"/>
            <w:vAlign w:val="top"/>
          </w:tcPr>
          <w:p>
            <w:r>
              <w:t>Background, p. 3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Objective and hypothesis comparing 6% versus 8% vaporizer-setting strategies are stated.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Trial design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3a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Description of trial design, including allocation ratio.</w:t>
            </w:r>
          </w:p>
        </w:tc>
        <w:tc>
          <w:tcPr>
            <w:tcW w:type="dxa" w:w="1701"/>
            <w:vAlign w:val="top"/>
          </w:tcPr>
          <w:p>
            <w:r>
              <w:t>Methods: Study design and ethics, p. 4; Randomization and masking, p. 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Prospective parallel-group randomized controlled trial with 1:1 allocation.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Trial design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3b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Important changes to methods after trial commencement, with reasons.</w:t>
            </w:r>
          </w:p>
        </w:tc>
        <w:tc>
          <w:tcPr>
            <w:tcW w:type="dxa" w:w="1701"/>
            <w:vAlign w:val="top"/>
          </w:tcPr>
          <w:p>
            <w:r>
              <w:t>Methods: Study design and ethics, p. 4</w:t>
            </w:r>
          </w:p>
        </w:tc>
        <w:tc>
          <w:tcPr>
            <w:tcW w:type="dxa" w:w="6236"/>
            <w:vAlign w:val="top"/>
          </w:tcPr>
          <w:p>
            <w:r>
              <w:t>The reported 6% versus 8% comparison is consistent with the registry record, but retrospective registration limits independent verification of post-initiation changes.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Participants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4a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Eligibility criteria for participants.</w:t>
            </w:r>
          </w:p>
        </w:tc>
        <w:tc>
          <w:tcPr>
            <w:tcW w:type="dxa" w:w="1701"/>
            <w:vAlign w:val="top"/>
          </w:tcPr>
          <w:p>
            <w:r>
              <w:t>Methods: Participants, pp. 4–5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Eligibility and exclusion criteria are listed.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Participants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4b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Settings and locations where the data were collected.</w:t>
            </w:r>
          </w:p>
        </w:tc>
        <w:tc>
          <w:tcPr>
            <w:tcW w:type="dxa" w:w="1701"/>
            <w:vAlign w:val="top"/>
          </w:tcPr>
          <w:p>
            <w:r>
              <w:t>Methods: Study design and ethics, p. 4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Single tertiary ophthalmic center in Shantou, China.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Interventions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5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The interventions for each group with sufficient details to allow replication.</w:t>
            </w:r>
          </w:p>
        </w:tc>
        <w:tc>
          <w:tcPr>
            <w:tcW w:type="dxa" w:w="1701"/>
            <w:vAlign w:val="top"/>
          </w:tcPr>
          <w:p>
            <w:r>
              <w:t>Methods: Anesthesia protocol, pp. 5–6; Intervention fidelity, p. 6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6% versus 8% vaporizer setting during mask induction, standardized 3% maintenance, oxygen flow, local infiltration, equipment, monitoring, and intervention-fidelity limitations are described.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Outcomes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6a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Completely defined prespecified primary and secondary outcome measures, including how and when they were assessed.</w:t>
            </w:r>
          </w:p>
        </w:tc>
        <w:tc>
          <w:tcPr>
            <w:tcW w:type="dxa" w:w="1701"/>
            <w:vAlign w:val="top"/>
          </w:tcPr>
          <w:p>
            <w:r>
              <w:t>Methods: Outcomes, pp. 6–7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Primary PAED outcome, ED thresholds, FPS timing, induction/recovery times, adverse events, physiologic variables, and proxy exposure measures are defined.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Outcomes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6b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Any changes to trial outcomes after the trial commenced, with reasons.</w:t>
            </w:r>
          </w:p>
        </w:tc>
        <w:tc>
          <w:tcPr>
            <w:tcW w:type="dxa" w:w="1701"/>
            <w:vAlign w:val="top"/>
          </w:tcPr>
          <w:p>
            <w:r>
              <w:t>Methods: Outcomes, pp. 6–7; Discussion: limitations, pp. 14–15</w:t>
            </w:r>
          </w:p>
        </w:tc>
        <w:tc>
          <w:tcPr>
            <w:tcW w:type="dxa" w:w="6236"/>
            <w:vAlign w:val="top"/>
          </w:tcPr>
          <w:p>
            <w:r>
              <w:t>The original continuous PAED score remained the primary endpoint. PAED ≥10 incidence was introduced as a post hoc exploratory analysis after peer review of an earlier submission; thresholds ≥12 and ≥15 were additional post hoc sensitivity analyses. Retrospective registration is disclosed.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Sample size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7a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How sample size was determined.</w:t>
            </w:r>
          </w:p>
        </w:tc>
        <w:tc>
          <w:tcPr>
            <w:tcW w:type="dxa" w:w="1701"/>
            <w:vAlign w:val="top"/>
          </w:tcPr>
          <w:p>
            <w:r>
              <w:t>Methods: Sample size, pp. 4–5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Sample size based on a 4-point PAED difference, SD 6, two-sided alpha 0.05, 80% power; target 40 per group.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Sample size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7b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When applicable, explanation of any interim analyses and stopping guidelines.</w:t>
            </w:r>
          </w:p>
        </w:tc>
        <w:tc>
          <w:tcPr>
            <w:tcW w:type="dxa" w:w="1701"/>
            <w:vAlign w:val="top"/>
          </w:tcPr>
          <w:p>
            <w:r>
              <w:t>Methods: Sample size, pp. 4–5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No interim analyses or stopping guidelines were used/reported.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Randomisation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8a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 used to generate the random allocation sequence.</w:t>
            </w:r>
          </w:p>
        </w:tc>
        <w:tc>
          <w:tcPr>
            <w:tcW w:type="dxa" w:w="1701"/>
            <w:vAlign w:val="top"/>
          </w:tcPr>
          <w:p>
            <w:r>
              <w:t>Methods: Randomization and masking, p. 5</w:t>
            </w:r>
          </w:p>
        </w:tc>
        <w:tc>
          <w:tcPr>
            <w:tcW w:type="dxa" w:w="6236"/>
            <w:vAlign w:val="top"/>
          </w:tcPr>
          <w:p>
            <w:r>
              <w:t>An investigator-confirmed random-number table was used to generate the 1:1 allocation sequence; no block randomization is claimed.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Randomisation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8b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Type of randomisation; details of any restriction, such as blocking and block size.</w:t>
            </w:r>
          </w:p>
        </w:tc>
        <w:tc>
          <w:tcPr>
            <w:tcW w:type="dxa" w:w="1701"/>
            <w:vAlign w:val="top"/>
          </w:tcPr>
          <w:p>
            <w:r>
              <w:t>Methods: Randomization and masking, p. 5</w:t>
            </w:r>
          </w:p>
        </w:tc>
        <w:tc>
          <w:tcPr>
            <w:tcW w:type="dxa" w:w="6236"/>
            <w:vAlign w:val="top"/>
          </w:tcPr>
          <w:p>
            <w:r>
              <w:t>Simple random assignment using a random-number table; no fixed block size or computer-generated block randomization is claimed.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Randomisation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9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Mechanism used to implement the random allocation sequence, describing steps taken to conceal the sequence until interventions were assigned.</w:t>
            </w:r>
          </w:p>
        </w:tc>
        <w:tc>
          <w:tcPr>
            <w:tcW w:type="dxa" w:w="1701"/>
            <w:vAlign w:val="top"/>
          </w:tcPr>
          <w:p>
            <w:r>
              <w:t>Methods: Randomization and masking, p. 5</w:t>
            </w:r>
          </w:p>
        </w:tc>
        <w:tc>
          <w:tcPr>
            <w:tcW w:type="dxa" w:w="6236"/>
            <w:vAlign w:val="top"/>
          </w:tcPr>
          <w:p>
            <w:r>
              <w:t>Assignments were concealed in sequentially numbered, opaque, sealed envelopes and revealed only immediately before induction.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Randomisation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10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Who generated the allocation sequence, who enrolled participants, and who assigned participants to interventions.</w:t>
            </w:r>
          </w:p>
        </w:tc>
        <w:tc>
          <w:tcPr>
            <w:tcW w:type="dxa" w:w="1701"/>
            <w:vAlign w:val="top"/>
          </w:tcPr>
          <w:p>
            <w:r>
              <w:t>Methods: Randomization and masking, p. 5</w:t>
            </w:r>
          </w:p>
        </w:tc>
        <w:tc>
          <w:tcPr>
            <w:tcW w:type="dxa" w:w="6236"/>
            <w:vAlign w:val="top"/>
          </w:tcPr>
          <w:p>
            <w:r>
              <w:t>Allocation sequence generation used a random-number table and sealed envelopes. Specific individual roles in sequence generation, enrolment and opening envelopes were not independently documented and are not inferred.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Blinding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11a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If done, who was blinded after assignment to interventions and how.</w:t>
            </w:r>
          </w:p>
        </w:tc>
        <w:tc>
          <w:tcPr>
            <w:tcW w:type="dxa" w:w="1701"/>
            <w:vAlign w:val="top"/>
          </w:tcPr>
          <w:p>
            <w:r>
              <w:t>Methods: Randomization and masking, p. 5</w:t>
            </w:r>
          </w:p>
        </w:tc>
        <w:tc>
          <w:tcPr>
            <w:tcW w:type="dxa" w:w="6236"/>
            <w:vAlign w:val="top"/>
          </w:tcPr>
          <w:p>
            <w:r>
              <w:t>Treating anesthesiologists were unblinded; PAED assessors remained unaware of the assigned setting until completion of scoring. Registry masking is listed as single (participant), and the implemented assessor blinding is described transparently.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Blinding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11b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If relevant, description of the similarity of interventions.</w:t>
            </w:r>
          </w:p>
        </w:tc>
        <w:tc>
          <w:tcPr>
            <w:tcW w:type="dxa" w:w="1701"/>
            <w:vAlign w:val="top"/>
          </w:tcPr>
          <w:p>
            <w:r>
              <w:t>Methods: Anesthesia protocol, pp. 5–6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Groups differed in induction vaporizer setting; maintenance anesthesia and perioperative protocol were standardized.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Statistical methods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12a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Statistical methods used to compare groups for primary and secondary outcomes.</w:t>
            </w:r>
          </w:p>
        </w:tc>
        <w:tc>
          <w:tcPr>
            <w:tcW w:type="dxa" w:w="1701"/>
            <w:vAlign w:val="top"/>
          </w:tcPr>
          <w:p>
            <w:r>
              <w:t>Methods: Statistical analysis, p. 8</w:t>
            </w:r>
          </w:p>
        </w:tc>
        <w:tc>
          <w:tcPr>
            <w:tcW w:type="dxa" w:w="6236"/>
            <w:vAlign w:val="top"/>
          </w:tcPr>
          <w:p>
            <w:r>
              <w:t>Mann–Whitney U, Hodges–Lehmann estimator, risk difference, risk ratio, NNT, modified Poisson regression with robust SEs, and Fisher exact tests are described. The sparse anesthesiologist distribution is reported descriptively.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Methods: Statistical methods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12b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Methods for additional analyses, such as subgroup analyses and adjusted analyses.</w:t>
            </w:r>
          </w:p>
        </w:tc>
        <w:tc>
          <w:tcPr>
            <w:tcW w:type="dxa" w:w="1701"/>
            <w:vAlign w:val="top"/>
          </w:tcPr>
          <w:p>
            <w:r>
              <w:t>Methods: Statistical analysis, pp. 8–9</w:t>
            </w:r>
          </w:p>
        </w:tc>
        <w:tc>
          <w:tcPr>
            <w:tcW w:type="dxa" w:w="6236"/>
            <w:vAlign w:val="top"/>
          </w:tcPr>
          <w:p>
            <w:r>
              <w:t>Modified Poisson adjustment and alternative PAED threshold analyses are labeled exploratory/post hoc; powered treatment-by-covariate interactions were not pursued.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Participant flow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13a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For each group, the numbers randomly assigned, receiving intended treatment, and analysed for the primary outcome.</w:t>
            </w:r>
          </w:p>
        </w:tc>
        <w:tc>
          <w:tcPr>
            <w:tcW w:type="dxa" w:w="1701"/>
            <w:vAlign w:val="top"/>
          </w:tcPr>
          <w:p>
            <w:r>
              <w:t>Results: Participants and baseline characteristics, p. 9; Figure 1, p. 22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One hundred and twenty-eight children were assessed for eligibility; 48 were excluded before randomization (20 not meeting inclusion criteria and 28 declining participation). Eighty children were randomized (40 per group), all received the allocated strategy, completed follow-up, and were analyzed by intention to treat.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Participant flow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13b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For each group, losses and exclusions after randomisation, together with reasons.</w:t>
            </w:r>
          </w:p>
        </w:tc>
        <w:tc>
          <w:tcPr>
            <w:tcW w:type="dxa" w:w="1701"/>
            <w:vAlign w:val="top"/>
          </w:tcPr>
          <w:p>
            <w:r>
              <w:t>Results: Participants and baseline characteristics, p. 9; Figure 1, p. 22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No participant in either group failed to receive the allocated intervention, was lost to follow-up, discontinued the intervention, or was excluded from analysis.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Recruitment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14a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Dates defining the periods of recruitment and follow-up.</w:t>
            </w:r>
          </w:p>
        </w:tc>
        <w:tc>
          <w:tcPr>
            <w:tcW w:type="dxa" w:w="1701"/>
            <w:vAlign w:val="top"/>
          </w:tcPr>
          <w:p>
            <w:r>
              <w:t>Methods: Study design and ethics, p. 4; Results, p. 9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Recruitment and follow-up occurred between February 2025 and February 2026. All randomized participants completed follow-up.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Recruitment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14b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Why the trial ended or was stopped.</w:t>
            </w:r>
          </w:p>
        </w:tc>
        <w:tc>
          <w:tcPr>
            <w:tcW w:type="dxa" w:w="1701"/>
            <w:vAlign w:val="top"/>
          </w:tcPr>
          <w:p>
            <w:r>
              <w:t>Methods: Sample size, p. 4; Results, p. 9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Planned sample was 80 and 80 were randomized; no early stopping is reported.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Baseline data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15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A table showing baseline demographic and clinical characteristics for each group.</w:t>
            </w:r>
          </w:p>
        </w:tc>
        <w:tc>
          <w:tcPr>
            <w:tcW w:type="dxa" w:w="1701"/>
            <w:vAlign w:val="top"/>
          </w:tcPr>
          <w:p>
            <w:r>
              <w:t>Table 1, p. 20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Baseline demographic and procedural characteristics of the 80 randomized participants are presented by group.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Numbers analysed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16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For each group, number of participants included in each analysis and whether analysis was by original assigned groups.</w:t>
            </w:r>
          </w:p>
        </w:tc>
        <w:tc>
          <w:tcPr>
            <w:tcW w:type="dxa" w:w="1701"/>
            <w:vAlign w:val="top"/>
          </w:tcPr>
          <w:p>
            <w:r>
              <w:t>Results, pp. 9–11; Tables 1–4, pp. 20–21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All 80 randomized children (40 per group) were analyzed in the groups to which they were originally assigned according to intention-to-treat principles.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Outcomes and estimation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17a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For each primary and secondary outcome, results for each group and the estimated effect size and precision.</w:t>
            </w:r>
          </w:p>
        </w:tc>
        <w:tc>
          <w:tcPr>
            <w:tcW w:type="dxa" w:w="1701"/>
            <w:vAlign w:val="top"/>
          </w:tcPr>
          <w:p>
            <w:r>
              <w:t>Results, pp. 9–11; Tables 2–4, pp. 20–21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Primary and secondary outcomes are reported by group with effect estimates and 95% confidence intervals where applicable.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Outcomes and estimation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17b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For binary outcomes, presentation of both absolute and relative effect sizes is recommended.</w:t>
            </w:r>
          </w:p>
        </w:tc>
        <w:tc>
          <w:tcPr>
            <w:tcW w:type="dxa" w:w="1701"/>
            <w:vAlign w:val="top"/>
          </w:tcPr>
          <w:p>
            <w:r>
              <w:t>Results, p. 9; Table 2, p. 20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ED event rates, absolute risk difference, risk ratio, and number needed to treat are reported.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Ancillary analyses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18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 of any other analyses performed, including subgroup and adjusted analyses, distinguishing prespecified from exploratory.</w:t>
            </w:r>
          </w:p>
        </w:tc>
        <w:tc>
          <w:tcPr>
            <w:tcW w:type="dxa" w:w="1701"/>
            <w:vAlign w:val="top"/>
          </w:tcPr>
          <w:p>
            <w:r>
              <w:t>Results: Adjusted and sensitivity analyses, p. 11; Table 4, p. 21</w:t>
            </w:r>
          </w:p>
        </w:tc>
        <w:tc>
          <w:tcPr>
            <w:tcW w:type="dxa" w:w="6236"/>
            <w:vAlign w:val="top"/>
          </w:tcPr>
          <w:p>
            <w:r>
              <w:t>Exploratory post hoc PAED ≥10 binary and threshold analyses and additional adjusted analyses are distinguished from the continuous primary PAED score.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Results: Harms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19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All important harms or unintended effects in each group.</w:t>
            </w:r>
          </w:p>
        </w:tc>
        <w:tc>
          <w:tcPr>
            <w:tcW w:type="dxa" w:w="1701"/>
            <w:vAlign w:val="top"/>
          </w:tcPr>
          <w:p>
            <w:r>
              <w:t>Results: Perioperative outcomes, p. 10; Tables 2–3, pp. 20–21</w:t>
            </w:r>
          </w:p>
        </w:tc>
        <w:tc>
          <w:tcPr>
            <w:tcW w:type="dxa" w:w="6236"/>
            <w:vAlign w:val="top"/>
          </w:tcPr>
          <w:p>
            <w:r>
              <w:t>Overall recorded harms are reported in Table 2 and stage-specific events in Table 3; Supplementary Table S4 shows recorded T1–T4 event types, including categories without entries. Absence of a code does not independently exclude events outside the recorded assessments.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Discussion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20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Trial limitations, addressing sources of potential bias, imprecision, and multiplicity.</w:t>
            </w:r>
          </w:p>
        </w:tc>
        <w:tc>
          <w:tcPr>
            <w:tcW w:type="dxa" w:w="1701"/>
            <w:vAlign w:val="top"/>
          </w:tcPr>
          <w:p>
            <w:r>
              <w:t>Discussion, pp. 11–15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Limitations include unblinded treating anesthesiologist, single center, modest sample, lack of continuous FiSevo/EtSevo, incomplete recording of induction disturbances, and behavioral outcome measurement.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Discussion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21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Generalisability of the trial findings.</w:t>
            </w:r>
          </w:p>
        </w:tc>
        <w:tc>
          <w:tcPr>
            <w:tcW w:type="dxa" w:w="1701"/>
            <w:vAlign w:val="top"/>
          </w:tcPr>
          <w:p>
            <w:r>
              <w:t>Discussion, pp. 13–15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External validity is explicitly limited to healthy children undergoing short ambulatory chalazion surgery under the study protocol.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Discussion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22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Interpretation consistent with results, balancing benefits and harms, and considering other relevant evidence.</w:t>
            </w:r>
          </w:p>
        </w:tc>
        <w:tc>
          <w:tcPr>
            <w:tcW w:type="dxa" w:w="1701"/>
            <w:vAlign w:val="top"/>
          </w:tcPr>
          <w:p>
            <w:r>
              <w:t>Discussion, pp. 11–15; Conclusions, p. 15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Interpretation is balanced against limitations and prior evidence; the study is framed as a pragmatic vaporizer-setting strategy rather than a precise concentration-response experiment.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Other information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23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Registration number and name of trial registry.</w:t>
            </w:r>
          </w:p>
        </w:tc>
        <w:tc>
          <w:tcPr>
            <w:tcW w:type="dxa" w:w="1701"/>
            <w:vAlign w:val="top"/>
          </w:tcPr>
          <w:p>
            <w:r>
              <w:t>Abstract, p. 2; Methods: Study design and ethics, p. 4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ClinicalTrials.gov NCT07450495; first posted 4 March 2026; explicitly described as retrospectively registered.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Other information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24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Where the full trial protocol can be accessed, if available.</w:t>
            </w:r>
          </w:p>
        </w:tc>
        <w:tc>
          <w:tcPr>
            <w:tcW w:type="dxa" w:w="1701"/>
            <w:vAlign w:val="top"/>
          </w:tcPr>
          <w:p>
            <w:r>
              <w:t>Declarations: Availability of data and materials, p. 16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The full study protocol is available from the corresponding author on reasonable request.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Other information</w:t>
            </w:r>
          </w:p>
        </w:tc>
        <w:tc>
          <w:tcPr>
            <w:tcW w:type="dxa" w:w="737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25</w:t>
            </w:r>
          </w:p>
        </w:tc>
        <w:tc>
          <w:tcPr>
            <w:tcW w:type="dxa" w:w="4989"/>
            <w:vAlign w:val="top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sz w:val="17"/>
              </w:rPr>
            </w:r>
            <w:r>
              <w:rPr>
                <w:rFonts w:ascii="Arial" w:hAnsi="Arial"/>
                <w:b w:val="0"/>
                <w:sz w:val="17"/>
              </w:rPr>
              <w:t>Sources of funding and other support, role of funders.</w:t>
            </w:r>
          </w:p>
        </w:tc>
        <w:tc>
          <w:tcPr>
            <w:tcW w:type="dxa" w:w="1701"/>
            <w:vAlign w:val="top"/>
          </w:tcPr>
          <w:p>
            <w:r>
              <w:t>Declarations: Funding, p. 16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Arial" w:hAnsi="Arial"/>
                <w:sz w:val="17"/>
              </w:rPr>
              <w:t>Funding source and the funder's lack of role in study design, data collection, analysis, interpretation, manuscript preparation, or submission are reported.</w:t>
            </w:r>
          </w:p>
        </w:tc>
      </w:tr>
    </w:tbl>
    <w:p/>
    <w:p>
      <w:r>
        <w:rPr>
          <w:rFonts w:ascii="Arial" w:hAnsi="Arial"/>
          <w:sz w:val="18"/>
        </w:rPr>
        <w:t>CONSORT flow diagram note: One hundred and twenty-eight children were assessed for eligibility; 48 were excluded before randomization (20 not meeting inclusion criteria and 28 declining to participate). Eighty children were randomized (40 per group), all received the allocated vaporizer-setting strategy, no participants were lost to follow-up, and all 80 were included in the intention-to-treat analysis.</w:t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