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19873" w14:textId="77777777" w:rsidR="0094150F" w:rsidRDefault="00000000">
      <w:pPr>
        <w:jc w:val="center"/>
      </w:pPr>
      <w:r>
        <w:rPr>
          <w:b/>
          <w:sz w:val="28"/>
        </w:rPr>
        <w:t>Additional file 1: Supplementary tables and figures</w:t>
      </w:r>
    </w:p>
    <w:p w14:paraId="72123C01" w14:textId="77777777" w:rsidR="0094150F" w:rsidRDefault="00000000">
      <w:pPr>
        <w:jc w:val="center"/>
      </w:pPr>
      <w:r>
        <w:t>Effect of 6% versus 8% sevoflurane vaporizer settings during mask induction on emergence delirium in children undergoing chalazion surgery: a randomized controlled trial</w:t>
      </w:r>
    </w:p>
    <w:p w14:paraId="4094F676" w14:textId="77777777" w:rsidR="0094150F" w:rsidRDefault="00000000">
      <w:r>
        <w:rPr>
          <w:b/>
          <w:sz w:val="21"/>
        </w:rPr>
        <w:t>Supplementary Table S1. Distribution of treating anesthesiologists</w:t>
      </w:r>
    </w:p>
    <w:tbl>
      <w:tblPr>
        <w:tblStyle w:val="aff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0"/>
        <w:gridCol w:w="3282"/>
        <w:gridCol w:w="3282"/>
      </w:tblGrid>
      <w:tr w:rsidR="0094150F" w14:paraId="561EBD77" w14:textId="77777777" w:rsidTr="00820D1B">
        <w:trPr>
          <w:tblHeader/>
          <w:jc w:val="center"/>
        </w:trPr>
        <w:tc>
          <w:tcPr>
            <w:tcW w:w="3360" w:type="dxa"/>
            <w:tcBorders>
              <w:bottom w:val="single" w:sz="4" w:space="0" w:color="auto"/>
            </w:tcBorders>
            <w:vAlign w:val="center"/>
          </w:tcPr>
          <w:p w14:paraId="2DBFEFB3" w14:textId="77777777" w:rsidR="0094150F" w:rsidRDefault="00000000" w:rsidP="00820D1B">
            <w:pPr>
              <w:jc w:val="center"/>
            </w:pPr>
            <w:r>
              <w:rPr>
                <w:b/>
                <w:sz w:val="17"/>
              </w:rPr>
              <w:t>Treating anesthesiologist</w:t>
            </w:r>
          </w:p>
        </w:tc>
        <w:tc>
          <w:tcPr>
            <w:tcW w:w="3360" w:type="dxa"/>
            <w:tcBorders>
              <w:bottom w:val="single" w:sz="4" w:space="0" w:color="auto"/>
            </w:tcBorders>
            <w:vAlign w:val="center"/>
          </w:tcPr>
          <w:p w14:paraId="375B6FE8" w14:textId="77777777" w:rsidR="0094150F" w:rsidRDefault="00000000" w:rsidP="00820D1B">
            <w:pPr>
              <w:jc w:val="center"/>
            </w:pPr>
            <w:r>
              <w:rPr>
                <w:b/>
                <w:sz w:val="17"/>
              </w:rPr>
              <w:t>6% setting (n=40)</w:t>
            </w:r>
          </w:p>
        </w:tc>
        <w:tc>
          <w:tcPr>
            <w:tcW w:w="3360" w:type="dxa"/>
            <w:tcBorders>
              <w:bottom w:val="single" w:sz="4" w:space="0" w:color="auto"/>
            </w:tcBorders>
            <w:vAlign w:val="center"/>
          </w:tcPr>
          <w:p w14:paraId="49E0F4DE" w14:textId="77777777" w:rsidR="0094150F" w:rsidRDefault="00000000" w:rsidP="00820D1B">
            <w:pPr>
              <w:jc w:val="center"/>
            </w:pPr>
            <w:r>
              <w:rPr>
                <w:b/>
                <w:sz w:val="17"/>
              </w:rPr>
              <w:t>8% setting (n=40)</w:t>
            </w:r>
          </w:p>
        </w:tc>
      </w:tr>
      <w:tr w:rsidR="0094150F" w14:paraId="59BEC3C4" w14:textId="77777777" w:rsidTr="00820D1B">
        <w:trPr>
          <w:jc w:val="center"/>
        </w:trPr>
        <w:tc>
          <w:tcPr>
            <w:tcW w:w="3360" w:type="dxa"/>
            <w:tcBorders>
              <w:top w:val="single" w:sz="4" w:space="0" w:color="auto"/>
              <w:bottom w:val="nil"/>
            </w:tcBorders>
            <w:vAlign w:val="center"/>
          </w:tcPr>
          <w:p w14:paraId="74576FBE" w14:textId="77777777" w:rsidR="0094150F" w:rsidRDefault="00000000" w:rsidP="00820D1B">
            <w:pPr>
              <w:jc w:val="center"/>
            </w:pPr>
            <w:r>
              <w:rPr>
                <w:sz w:val="17"/>
              </w:rPr>
              <w:t>Fangxin Zhou</w:t>
            </w:r>
          </w:p>
        </w:tc>
        <w:tc>
          <w:tcPr>
            <w:tcW w:w="3360" w:type="dxa"/>
            <w:tcBorders>
              <w:top w:val="single" w:sz="4" w:space="0" w:color="auto"/>
              <w:bottom w:val="nil"/>
            </w:tcBorders>
            <w:vAlign w:val="center"/>
          </w:tcPr>
          <w:p w14:paraId="5966D358" w14:textId="77777777" w:rsidR="0094150F" w:rsidRDefault="00000000" w:rsidP="00820D1B">
            <w:pPr>
              <w:jc w:val="center"/>
            </w:pPr>
            <w:r>
              <w:rPr>
                <w:sz w:val="17"/>
              </w:rPr>
              <w:t>9</w:t>
            </w:r>
          </w:p>
        </w:tc>
        <w:tc>
          <w:tcPr>
            <w:tcW w:w="3360" w:type="dxa"/>
            <w:tcBorders>
              <w:top w:val="single" w:sz="4" w:space="0" w:color="auto"/>
              <w:bottom w:val="nil"/>
            </w:tcBorders>
            <w:vAlign w:val="center"/>
          </w:tcPr>
          <w:p w14:paraId="58C6B29B" w14:textId="77777777" w:rsidR="0094150F" w:rsidRDefault="00000000" w:rsidP="00820D1B">
            <w:pPr>
              <w:jc w:val="center"/>
            </w:pPr>
            <w:r>
              <w:rPr>
                <w:sz w:val="17"/>
              </w:rPr>
              <w:t>10</w:t>
            </w:r>
          </w:p>
        </w:tc>
      </w:tr>
      <w:tr w:rsidR="0094150F" w14:paraId="7C6DEE64" w14:textId="77777777" w:rsidTr="00820D1B">
        <w:trPr>
          <w:jc w:val="center"/>
        </w:trPr>
        <w:tc>
          <w:tcPr>
            <w:tcW w:w="3360" w:type="dxa"/>
            <w:tcBorders>
              <w:top w:val="nil"/>
            </w:tcBorders>
            <w:vAlign w:val="center"/>
          </w:tcPr>
          <w:p w14:paraId="06691FC8" w14:textId="77777777" w:rsidR="0094150F" w:rsidRDefault="00000000" w:rsidP="00820D1B">
            <w:pPr>
              <w:jc w:val="center"/>
            </w:pPr>
            <w:r>
              <w:rPr>
                <w:sz w:val="17"/>
              </w:rPr>
              <w:t>Cheng Lin</w:t>
            </w:r>
          </w:p>
        </w:tc>
        <w:tc>
          <w:tcPr>
            <w:tcW w:w="3360" w:type="dxa"/>
            <w:tcBorders>
              <w:top w:val="nil"/>
            </w:tcBorders>
            <w:vAlign w:val="center"/>
          </w:tcPr>
          <w:p w14:paraId="09F4EC83" w14:textId="77777777" w:rsidR="0094150F" w:rsidRDefault="00000000" w:rsidP="00820D1B">
            <w:pPr>
              <w:jc w:val="center"/>
            </w:pPr>
            <w:r>
              <w:rPr>
                <w:sz w:val="17"/>
              </w:rPr>
              <w:t>10</w:t>
            </w:r>
          </w:p>
        </w:tc>
        <w:tc>
          <w:tcPr>
            <w:tcW w:w="3360" w:type="dxa"/>
            <w:tcBorders>
              <w:top w:val="nil"/>
            </w:tcBorders>
            <w:vAlign w:val="center"/>
          </w:tcPr>
          <w:p w14:paraId="1422218E" w14:textId="77777777" w:rsidR="0094150F" w:rsidRDefault="00000000" w:rsidP="00820D1B">
            <w:pPr>
              <w:jc w:val="center"/>
            </w:pPr>
            <w:r>
              <w:rPr>
                <w:sz w:val="17"/>
              </w:rPr>
              <w:t>6</w:t>
            </w:r>
          </w:p>
        </w:tc>
      </w:tr>
      <w:tr w:rsidR="0094150F" w14:paraId="1624270E" w14:textId="77777777" w:rsidTr="00820D1B">
        <w:trPr>
          <w:jc w:val="center"/>
        </w:trPr>
        <w:tc>
          <w:tcPr>
            <w:tcW w:w="3360" w:type="dxa"/>
            <w:vAlign w:val="center"/>
          </w:tcPr>
          <w:p w14:paraId="205F802B" w14:textId="77777777" w:rsidR="0094150F" w:rsidRDefault="00000000" w:rsidP="00820D1B">
            <w:pPr>
              <w:jc w:val="center"/>
            </w:pPr>
            <w:r>
              <w:rPr>
                <w:sz w:val="17"/>
              </w:rPr>
              <w:t>Quan Lin</w:t>
            </w:r>
          </w:p>
        </w:tc>
        <w:tc>
          <w:tcPr>
            <w:tcW w:w="3360" w:type="dxa"/>
            <w:vAlign w:val="center"/>
          </w:tcPr>
          <w:p w14:paraId="0AC4C59F" w14:textId="77777777" w:rsidR="0094150F" w:rsidRDefault="00000000" w:rsidP="00820D1B">
            <w:pPr>
              <w:jc w:val="center"/>
            </w:pPr>
            <w:r>
              <w:rPr>
                <w:sz w:val="17"/>
              </w:rPr>
              <w:t>9</w:t>
            </w:r>
          </w:p>
        </w:tc>
        <w:tc>
          <w:tcPr>
            <w:tcW w:w="3360" w:type="dxa"/>
            <w:vAlign w:val="center"/>
          </w:tcPr>
          <w:p w14:paraId="39DE09A1" w14:textId="77777777" w:rsidR="0094150F" w:rsidRDefault="00000000" w:rsidP="00820D1B">
            <w:pPr>
              <w:jc w:val="center"/>
            </w:pPr>
            <w:r>
              <w:rPr>
                <w:sz w:val="17"/>
              </w:rPr>
              <w:t>7</w:t>
            </w:r>
          </w:p>
        </w:tc>
      </w:tr>
      <w:tr w:rsidR="0094150F" w14:paraId="5A563AB8" w14:textId="77777777" w:rsidTr="00820D1B">
        <w:trPr>
          <w:jc w:val="center"/>
        </w:trPr>
        <w:tc>
          <w:tcPr>
            <w:tcW w:w="3360" w:type="dxa"/>
            <w:vAlign w:val="center"/>
          </w:tcPr>
          <w:p w14:paraId="03FAF518" w14:textId="77777777" w:rsidR="0094150F" w:rsidRDefault="00000000" w:rsidP="00820D1B">
            <w:pPr>
              <w:jc w:val="center"/>
            </w:pPr>
            <w:r>
              <w:rPr>
                <w:sz w:val="17"/>
              </w:rPr>
              <w:t>Jianying Xie</w:t>
            </w:r>
          </w:p>
        </w:tc>
        <w:tc>
          <w:tcPr>
            <w:tcW w:w="3360" w:type="dxa"/>
            <w:vAlign w:val="center"/>
          </w:tcPr>
          <w:p w14:paraId="4D994540" w14:textId="77777777" w:rsidR="0094150F" w:rsidRDefault="00000000" w:rsidP="00820D1B">
            <w:pPr>
              <w:jc w:val="center"/>
            </w:pPr>
            <w:r>
              <w:rPr>
                <w:sz w:val="17"/>
              </w:rPr>
              <w:t>5</w:t>
            </w:r>
          </w:p>
        </w:tc>
        <w:tc>
          <w:tcPr>
            <w:tcW w:w="3360" w:type="dxa"/>
            <w:vAlign w:val="center"/>
          </w:tcPr>
          <w:p w14:paraId="0C02968C" w14:textId="77777777" w:rsidR="0094150F" w:rsidRDefault="00000000" w:rsidP="00820D1B">
            <w:pPr>
              <w:jc w:val="center"/>
            </w:pPr>
            <w:r>
              <w:rPr>
                <w:sz w:val="17"/>
              </w:rPr>
              <w:t>6</w:t>
            </w:r>
          </w:p>
        </w:tc>
      </w:tr>
      <w:tr w:rsidR="0094150F" w14:paraId="4AE6A1C1" w14:textId="77777777" w:rsidTr="00820D1B">
        <w:trPr>
          <w:jc w:val="center"/>
        </w:trPr>
        <w:tc>
          <w:tcPr>
            <w:tcW w:w="3360" w:type="dxa"/>
            <w:vAlign w:val="center"/>
          </w:tcPr>
          <w:p w14:paraId="39179816" w14:textId="77777777" w:rsidR="0094150F" w:rsidRDefault="00000000" w:rsidP="00820D1B">
            <w:pPr>
              <w:jc w:val="center"/>
            </w:pPr>
            <w:r>
              <w:rPr>
                <w:sz w:val="17"/>
              </w:rPr>
              <w:t>Jinxia Xie</w:t>
            </w:r>
          </w:p>
        </w:tc>
        <w:tc>
          <w:tcPr>
            <w:tcW w:w="3360" w:type="dxa"/>
            <w:vAlign w:val="center"/>
          </w:tcPr>
          <w:p w14:paraId="59324567" w14:textId="77777777" w:rsidR="0094150F" w:rsidRDefault="00000000" w:rsidP="00820D1B">
            <w:pPr>
              <w:jc w:val="center"/>
            </w:pPr>
            <w:r>
              <w:rPr>
                <w:sz w:val="17"/>
              </w:rPr>
              <w:t>7</w:t>
            </w:r>
          </w:p>
        </w:tc>
        <w:tc>
          <w:tcPr>
            <w:tcW w:w="3360" w:type="dxa"/>
            <w:vAlign w:val="center"/>
          </w:tcPr>
          <w:p w14:paraId="789D7035" w14:textId="77777777" w:rsidR="0094150F" w:rsidRDefault="00000000" w:rsidP="00820D1B">
            <w:pPr>
              <w:jc w:val="center"/>
            </w:pPr>
            <w:r>
              <w:rPr>
                <w:sz w:val="17"/>
              </w:rPr>
              <w:t>10</w:t>
            </w:r>
          </w:p>
        </w:tc>
      </w:tr>
      <w:tr w:rsidR="0094150F" w14:paraId="1083DFE6" w14:textId="77777777" w:rsidTr="00820D1B">
        <w:trPr>
          <w:jc w:val="center"/>
        </w:trPr>
        <w:tc>
          <w:tcPr>
            <w:tcW w:w="3360" w:type="dxa"/>
            <w:vAlign w:val="center"/>
          </w:tcPr>
          <w:p w14:paraId="0CD856BD" w14:textId="77777777" w:rsidR="0094150F" w:rsidRDefault="00000000" w:rsidP="00820D1B">
            <w:pPr>
              <w:jc w:val="center"/>
            </w:pPr>
            <w:r>
              <w:rPr>
                <w:sz w:val="17"/>
              </w:rPr>
              <w:t>Wenfang Zhong</w:t>
            </w:r>
          </w:p>
        </w:tc>
        <w:tc>
          <w:tcPr>
            <w:tcW w:w="3360" w:type="dxa"/>
            <w:vAlign w:val="center"/>
          </w:tcPr>
          <w:p w14:paraId="62843A2B" w14:textId="77777777" w:rsidR="0094150F" w:rsidRDefault="00000000" w:rsidP="00820D1B">
            <w:pPr>
              <w:jc w:val="center"/>
            </w:pPr>
            <w:r>
              <w:rPr>
                <w:sz w:val="17"/>
              </w:rPr>
              <w:t>0</w:t>
            </w:r>
          </w:p>
        </w:tc>
        <w:tc>
          <w:tcPr>
            <w:tcW w:w="3360" w:type="dxa"/>
            <w:vAlign w:val="center"/>
          </w:tcPr>
          <w:p w14:paraId="05B87597" w14:textId="77777777" w:rsidR="0094150F" w:rsidRDefault="00000000" w:rsidP="00820D1B">
            <w:pPr>
              <w:jc w:val="center"/>
            </w:pPr>
            <w:r>
              <w:rPr>
                <w:sz w:val="17"/>
              </w:rPr>
              <w:t>1</w:t>
            </w:r>
          </w:p>
        </w:tc>
      </w:tr>
    </w:tbl>
    <w:p w14:paraId="2E313D51" w14:textId="77777777" w:rsidR="0094150F" w:rsidRDefault="00000000">
      <w:r>
        <w:t>Note: Counts describe treating-anesthesiologist assignments by randomized group. A formal between-group significance test is not reported because several expected cell frequencies were small and randomization does not require a test of baseline balance. Anesthesiologist-adjusted sensitivity analyses are reported in the main manuscript.</w:t>
      </w:r>
    </w:p>
    <w:p w14:paraId="320A2032" w14:textId="77777777" w:rsidR="0094150F" w:rsidRDefault="00000000">
      <w:r>
        <w:rPr>
          <w:b/>
          <w:sz w:val="21"/>
        </w:rPr>
        <w:t>Supplementary Table S2. Procedure-level proxy measures of volatile anesthetic exposure</w:t>
      </w:r>
    </w:p>
    <w:tbl>
      <w:tblPr>
        <w:tblStyle w:val="aff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6"/>
        <w:gridCol w:w="2464"/>
        <w:gridCol w:w="2464"/>
        <w:gridCol w:w="2460"/>
      </w:tblGrid>
      <w:tr w:rsidR="0094150F" w14:paraId="02B826B1" w14:textId="77777777" w:rsidTr="00820D1B">
        <w:trPr>
          <w:tblHeader/>
          <w:jc w:val="center"/>
        </w:trPr>
        <w:tc>
          <w:tcPr>
            <w:tcW w:w="2520" w:type="dxa"/>
            <w:tcBorders>
              <w:bottom w:val="single" w:sz="4" w:space="0" w:color="auto"/>
            </w:tcBorders>
            <w:vAlign w:val="center"/>
          </w:tcPr>
          <w:p w14:paraId="4981FADA" w14:textId="77777777" w:rsidR="0094150F" w:rsidRDefault="00000000" w:rsidP="00820D1B">
            <w:pPr>
              <w:jc w:val="center"/>
            </w:pPr>
            <w:r>
              <w:rPr>
                <w:b/>
                <w:sz w:val="17"/>
              </w:rPr>
              <w:t>Proxy exposure measure</w:t>
            </w:r>
          </w:p>
        </w:tc>
        <w:tc>
          <w:tcPr>
            <w:tcW w:w="2520" w:type="dxa"/>
            <w:tcBorders>
              <w:bottom w:val="single" w:sz="4" w:space="0" w:color="auto"/>
            </w:tcBorders>
            <w:vAlign w:val="center"/>
          </w:tcPr>
          <w:p w14:paraId="1A814B20" w14:textId="77777777" w:rsidR="0094150F" w:rsidRDefault="00000000" w:rsidP="00820D1B">
            <w:pPr>
              <w:jc w:val="center"/>
            </w:pPr>
            <w:r>
              <w:rPr>
                <w:b/>
                <w:sz w:val="17"/>
              </w:rPr>
              <w:t>6% setting (n=40)</w:t>
            </w:r>
          </w:p>
        </w:tc>
        <w:tc>
          <w:tcPr>
            <w:tcW w:w="2520" w:type="dxa"/>
            <w:tcBorders>
              <w:bottom w:val="single" w:sz="4" w:space="0" w:color="auto"/>
            </w:tcBorders>
            <w:vAlign w:val="center"/>
          </w:tcPr>
          <w:p w14:paraId="6D2BBA80" w14:textId="77777777" w:rsidR="0094150F" w:rsidRDefault="00000000" w:rsidP="00820D1B">
            <w:pPr>
              <w:jc w:val="center"/>
            </w:pPr>
            <w:r>
              <w:rPr>
                <w:b/>
                <w:sz w:val="17"/>
              </w:rPr>
              <w:t>8% setting (n=40)</w:t>
            </w:r>
          </w:p>
        </w:tc>
        <w:tc>
          <w:tcPr>
            <w:tcW w:w="2520" w:type="dxa"/>
            <w:tcBorders>
              <w:bottom w:val="single" w:sz="4" w:space="0" w:color="auto"/>
            </w:tcBorders>
            <w:vAlign w:val="center"/>
          </w:tcPr>
          <w:p w14:paraId="419EC353" w14:textId="77777777" w:rsidR="0094150F" w:rsidRDefault="00000000" w:rsidP="00820D1B">
            <w:pPr>
              <w:jc w:val="center"/>
            </w:pPr>
            <w:r>
              <w:rPr>
                <w:b/>
                <w:sz w:val="17"/>
              </w:rPr>
              <w:t>P value</w:t>
            </w:r>
          </w:p>
        </w:tc>
      </w:tr>
      <w:tr w:rsidR="0094150F" w14:paraId="417DE17A" w14:textId="77777777" w:rsidTr="00820D1B">
        <w:trPr>
          <w:jc w:val="center"/>
        </w:trPr>
        <w:tc>
          <w:tcPr>
            <w:tcW w:w="2520" w:type="dxa"/>
            <w:tcBorders>
              <w:top w:val="single" w:sz="4" w:space="0" w:color="auto"/>
              <w:bottom w:val="nil"/>
            </w:tcBorders>
            <w:vAlign w:val="center"/>
          </w:tcPr>
          <w:p w14:paraId="6DB0F81D" w14:textId="77777777" w:rsidR="0094150F" w:rsidRDefault="00000000" w:rsidP="00820D1B">
            <w:pPr>
              <w:jc w:val="center"/>
            </w:pPr>
            <w:r>
              <w:rPr>
                <w:sz w:val="17"/>
              </w:rPr>
              <w:t>MAC at T1</w:t>
            </w:r>
          </w:p>
        </w:tc>
        <w:tc>
          <w:tcPr>
            <w:tcW w:w="2520" w:type="dxa"/>
            <w:tcBorders>
              <w:top w:val="single" w:sz="4" w:space="0" w:color="auto"/>
              <w:bottom w:val="nil"/>
            </w:tcBorders>
            <w:vAlign w:val="center"/>
          </w:tcPr>
          <w:p w14:paraId="392B69FF" w14:textId="77777777" w:rsidR="0094150F" w:rsidRDefault="00000000" w:rsidP="00820D1B">
            <w:pPr>
              <w:jc w:val="center"/>
            </w:pPr>
            <w:r>
              <w:rPr>
                <w:sz w:val="17"/>
              </w:rPr>
              <w:t>1.30 (1.20–1.40)</w:t>
            </w:r>
          </w:p>
        </w:tc>
        <w:tc>
          <w:tcPr>
            <w:tcW w:w="2520" w:type="dxa"/>
            <w:tcBorders>
              <w:top w:val="single" w:sz="4" w:space="0" w:color="auto"/>
              <w:bottom w:val="nil"/>
            </w:tcBorders>
            <w:vAlign w:val="center"/>
          </w:tcPr>
          <w:p w14:paraId="518E36F9" w14:textId="77777777" w:rsidR="0094150F" w:rsidRDefault="00000000" w:rsidP="00820D1B">
            <w:pPr>
              <w:jc w:val="center"/>
            </w:pPr>
            <w:r>
              <w:rPr>
                <w:sz w:val="17"/>
              </w:rPr>
              <w:t>1.25 (1.20–1.40)</w:t>
            </w:r>
          </w:p>
        </w:tc>
        <w:tc>
          <w:tcPr>
            <w:tcW w:w="2520" w:type="dxa"/>
            <w:tcBorders>
              <w:top w:val="single" w:sz="4" w:space="0" w:color="auto"/>
              <w:bottom w:val="nil"/>
            </w:tcBorders>
            <w:vAlign w:val="center"/>
          </w:tcPr>
          <w:p w14:paraId="57DFD868" w14:textId="77777777" w:rsidR="0094150F" w:rsidRDefault="00000000" w:rsidP="00820D1B">
            <w:pPr>
              <w:jc w:val="center"/>
            </w:pPr>
            <w:r>
              <w:rPr>
                <w:sz w:val="17"/>
              </w:rPr>
              <w:t>0.762</w:t>
            </w:r>
          </w:p>
        </w:tc>
      </w:tr>
      <w:tr w:rsidR="0094150F" w14:paraId="1154B8E1" w14:textId="77777777" w:rsidTr="00820D1B">
        <w:trPr>
          <w:jc w:val="center"/>
        </w:trPr>
        <w:tc>
          <w:tcPr>
            <w:tcW w:w="2520" w:type="dxa"/>
            <w:tcBorders>
              <w:top w:val="nil"/>
            </w:tcBorders>
            <w:vAlign w:val="center"/>
          </w:tcPr>
          <w:p w14:paraId="153FDB0B" w14:textId="77777777" w:rsidR="0094150F" w:rsidRDefault="00000000" w:rsidP="00820D1B">
            <w:pPr>
              <w:jc w:val="center"/>
            </w:pPr>
            <w:r>
              <w:rPr>
                <w:sz w:val="17"/>
              </w:rPr>
              <w:t>MAC at T2</w:t>
            </w:r>
          </w:p>
        </w:tc>
        <w:tc>
          <w:tcPr>
            <w:tcW w:w="2520" w:type="dxa"/>
            <w:tcBorders>
              <w:top w:val="nil"/>
            </w:tcBorders>
            <w:vAlign w:val="center"/>
          </w:tcPr>
          <w:p w14:paraId="4DC2E0AE" w14:textId="77777777" w:rsidR="0094150F" w:rsidRDefault="00000000" w:rsidP="00820D1B">
            <w:pPr>
              <w:jc w:val="center"/>
            </w:pPr>
            <w:r>
              <w:rPr>
                <w:sz w:val="17"/>
              </w:rPr>
              <w:t>1.30 (1.20–1.30)</w:t>
            </w:r>
          </w:p>
        </w:tc>
        <w:tc>
          <w:tcPr>
            <w:tcW w:w="2520" w:type="dxa"/>
            <w:tcBorders>
              <w:top w:val="nil"/>
            </w:tcBorders>
            <w:vAlign w:val="center"/>
          </w:tcPr>
          <w:p w14:paraId="48324914" w14:textId="77777777" w:rsidR="0094150F" w:rsidRDefault="00000000" w:rsidP="00820D1B">
            <w:pPr>
              <w:jc w:val="center"/>
            </w:pPr>
            <w:r>
              <w:rPr>
                <w:sz w:val="17"/>
              </w:rPr>
              <w:t>1.25 (1.20–1.30)</w:t>
            </w:r>
          </w:p>
        </w:tc>
        <w:tc>
          <w:tcPr>
            <w:tcW w:w="2520" w:type="dxa"/>
            <w:tcBorders>
              <w:top w:val="nil"/>
            </w:tcBorders>
            <w:vAlign w:val="center"/>
          </w:tcPr>
          <w:p w14:paraId="4C2A6440" w14:textId="77777777" w:rsidR="0094150F" w:rsidRDefault="00000000" w:rsidP="00820D1B">
            <w:pPr>
              <w:jc w:val="center"/>
            </w:pPr>
            <w:r>
              <w:rPr>
                <w:sz w:val="17"/>
              </w:rPr>
              <w:t>0.552</w:t>
            </w:r>
          </w:p>
        </w:tc>
      </w:tr>
      <w:tr w:rsidR="0094150F" w14:paraId="39A58954" w14:textId="77777777" w:rsidTr="00820D1B">
        <w:trPr>
          <w:jc w:val="center"/>
        </w:trPr>
        <w:tc>
          <w:tcPr>
            <w:tcW w:w="2520" w:type="dxa"/>
            <w:vAlign w:val="center"/>
          </w:tcPr>
          <w:p w14:paraId="7A454A1B" w14:textId="77777777" w:rsidR="0094150F" w:rsidRDefault="00000000" w:rsidP="00820D1B">
            <w:pPr>
              <w:jc w:val="center"/>
            </w:pPr>
            <w:r>
              <w:rPr>
                <w:sz w:val="17"/>
              </w:rPr>
              <w:t>MAC at T3</w:t>
            </w:r>
          </w:p>
        </w:tc>
        <w:tc>
          <w:tcPr>
            <w:tcW w:w="2520" w:type="dxa"/>
            <w:vAlign w:val="center"/>
          </w:tcPr>
          <w:p w14:paraId="4F38DAC1" w14:textId="77777777" w:rsidR="0094150F" w:rsidRDefault="00000000" w:rsidP="00820D1B">
            <w:pPr>
              <w:jc w:val="center"/>
            </w:pPr>
            <w:r>
              <w:rPr>
                <w:sz w:val="17"/>
              </w:rPr>
              <w:t>1.30 (1.20–1.30)</w:t>
            </w:r>
          </w:p>
        </w:tc>
        <w:tc>
          <w:tcPr>
            <w:tcW w:w="2520" w:type="dxa"/>
            <w:vAlign w:val="center"/>
          </w:tcPr>
          <w:p w14:paraId="532CFC26" w14:textId="77777777" w:rsidR="0094150F" w:rsidRDefault="00000000" w:rsidP="00820D1B">
            <w:pPr>
              <w:jc w:val="center"/>
            </w:pPr>
            <w:r>
              <w:rPr>
                <w:sz w:val="17"/>
              </w:rPr>
              <w:t>1.20 (1.20–1.30)</w:t>
            </w:r>
          </w:p>
        </w:tc>
        <w:tc>
          <w:tcPr>
            <w:tcW w:w="2520" w:type="dxa"/>
            <w:vAlign w:val="center"/>
          </w:tcPr>
          <w:p w14:paraId="7FD21611" w14:textId="77777777" w:rsidR="0094150F" w:rsidRDefault="00000000" w:rsidP="00820D1B">
            <w:pPr>
              <w:jc w:val="center"/>
            </w:pPr>
            <w:r>
              <w:rPr>
                <w:sz w:val="17"/>
              </w:rPr>
              <w:t>0.040</w:t>
            </w:r>
          </w:p>
        </w:tc>
      </w:tr>
      <w:tr w:rsidR="0094150F" w14:paraId="0D365B5C" w14:textId="77777777" w:rsidTr="00820D1B">
        <w:trPr>
          <w:jc w:val="center"/>
        </w:trPr>
        <w:tc>
          <w:tcPr>
            <w:tcW w:w="2520" w:type="dxa"/>
            <w:vAlign w:val="center"/>
          </w:tcPr>
          <w:p w14:paraId="1E923ECC" w14:textId="77777777" w:rsidR="0094150F" w:rsidRDefault="00000000" w:rsidP="00820D1B">
            <w:pPr>
              <w:jc w:val="center"/>
            </w:pPr>
            <w:r>
              <w:rPr>
                <w:sz w:val="17"/>
              </w:rPr>
              <w:t>Mean MAC across recorded time points</w:t>
            </w:r>
          </w:p>
        </w:tc>
        <w:tc>
          <w:tcPr>
            <w:tcW w:w="2520" w:type="dxa"/>
            <w:vAlign w:val="center"/>
          </w:tcPr>
          <w:p w14:paraId="6B7FE56F" w14:textId="77777777" w:rsidR="0094150F" w:rsidRDefault="00000000" w:rsidP="00820D1B">
            <w:pPr>
              <w:jc w:val="center"/>
            </w:pPr>
            <w:r>
              <w:rPr>
                <w:sz w:val="17"/>
              </w:rPr>
              <w:t>1.27 (1.23–1.34)</w:t>
            </w:r>
          </w:p>
        </w:tc>
        <w:tc>
          <w:tcPr>
            <w:tcW w:w="2520" w:type="dxa"/>
            <w:vAlign w:val="center"/>
          </w:tcPr>
          <w:p w14:paraId="2491BE8C" w14:textId="77777777" w:rsidR="0094150F" w:rsidRDefault="00000000" w:rsidP="00820D1B">
            <w:pPr>
              <w:jc w:val="center"/>
            </w:pPr>
            <w:r>
              <w:rPr>
                <w:sz w:val="17"/>
              </w:rPr>
              <w:t>1.27 (1.20–1.33)</w:t>
            </w:r>
          </w:p>
        </w:tc>
        <w:tc>
          <w:tcPr>
            <w:tcW w:w="2520" w:type="dxa"/>
            <w:vAlign w:val="center"/>
          </w:tcPr>
          <w:p w14:paraId="0647D801" w14:textId="77777777" w:rsidR="0094150F" w:rsidRDefault="00000000" w:rsidP="00820D1B">
            <w:pPr>
              <w:jc w:val="center"/>
            </w:pPr>
            <w:r>
              <w:rPr>
                <w:sz w:val="17"/>
              </w:rPr>
              <w:t>0.330</w:t>
            </w:r>
          </w:p>
        </w:tc>
      </w:tr>
      <w:tr w:rsidR="0094150F" w14:paraId="1E9CCE2B" w14:textId="77777777" w:rsidTr="00820D1B">
        <w:trPr>
          <w:jc w:val="center"/>
        </w:trPr>
        <w:tc>
          <w:tcPr>
            <w:tcW w:w="2520" w:type="dxa"/>
            <w:vAlign w:val="center"/>
          </w:tcPr>
          <w:p w14:paraId="795B865A" w14:textId="77777777" w:rsidR="0094150F" w:rsidRDefault="00000000" w:rsidP="00820D1B">
            <w:pPr>
              <w:jc w:val="center"/>
            </w:pPr>
            <w:r>
              <w:rPr>
                <w:sz w:val="17"/>
              </w:rPr>
              <w:t>Estimated MAC-time exposure, MAC-min</w:t>
            </w:r>
          </w:p>
        </w:tc>
        <w:tc>
          <w:tcPr>
            <w:tcW w:w="2520" w:type="dxa"/>
            <w:vAlign w:val="center"/>
          </w:tcPr>
          <w:p w14:paraId="473E11CC" w14:textId="77777777" w:rsidR="0094150F" w:rsidRDefault="00000000" w:rsidP="00820D1B">
            <w:pPr>
              <w:jc w:val="center"/>
            </w:pPr>
            <w:r>
              <w:rPr>
                <w:sz w:val="17"/>
              </w:rPr>
              <w:t>30.15 (24.38–38.55)</w:t>
            </w:r>
          </w:p>
        </w:tc>
        <w:tc>
          <w:tcPr>
            <w:tcW w:w="2520" w:type="dxa"/>
            <w:vAlign w:val="center"/>
          </w:tcPr>
          <w:p w14:paraId="333D968D" w14:textId="77777777" w:rsidR="0094150F" w:rsidRDefault="00000000" w:rsidP="00820D1B">
            <w:pPr>
              <w:jc w:val="center"/>
            </w:pPr>
            <w:r>
              <w:rPr>
                <w:sz w:val="17"/>
              </w:rPr>
              <w:t>29.57 (20.40–42.97)</w:t>
            </w:r>
          </w:p>
        </w:tc>
        <w:tc>
          <w:tcPr>
            <w:tcW w:w="2520" w:type="dxa"/>
            <w:vAlign w:val="center"/>
          </w:tcPr>
          <w:p w14:paraId="5CC57816" w14:textId="77777777" w:rsidR="0094150F" w:rsidRDefault="00000000" w:rsidP="00820D1B">
            <w:pPr>
              <w:jc w:val="center"/>
            </w:pPr>
            <w:r>
              <w:rPr>
                <w:sz w:val="17"/>
              </w:rPr>
              <w:t>0.715</w:t>
            </w:r>
          </w:p>
        </w:tc>
      </w:tr>
      <w:tr w:rsidR="0094150F" w14:paraId="1472E504" w14:textId="77777777" w:rsidTr="00820D1B">
        <w:trPr>
          <w:jc w:val="center"/>
        </w:trPr>
        <w:tc>
          <w:tcPr>
            <w:tcW w:w="2520" w:type="dxa"/>
            <w:vAlign w:val="center"/>
          </w:tcPr>
          <w:p w14:paraId="009E09DD" w14:textId="77777777" w:rsidR="0094150F" w:rsidRDefault="00000000" w:rsidP="00820D1B">
            <w:pPr>
              <w:jc w:val="center"/>
            </w:pPr>
            <w:r>
              <w:rPr>
                <w:sz w:val="17"/>
              </w:rPr>
              <w:t>Estimated sevoflurane consumption during induction, mL</w:t>
            </w:r>
          </w:p>
        </w:tc>
        <w:tc>
          <w:tcPr>
            <w:tcW w:w="2520" w:type="dxa"/>
            <w:vAlign w:val="center"/>
          </w:tcPr>
          <w:p w14:paraId="49ED0647" w14:textId="77777777" w:rsidR="0094150F" w:rsidRDefault="00000000" w:rsidP="00820D1B">
            <w:pPr>
              <w:jc w:val="center"/>
            </w:pPr>
            <w:r>
              <w:rPr>
                <w:sz w:val="17"/>
              </w:rPr>
              <w:t>2.88 (2.16–2.88)</w:t>
            </w:r>
          </w:p>
        </w:tc>
        <w:tc>
          <w:tcPr>
            <w:tcW w:w="2520" w:type="dxa"/>
            <w:vAlign w:val="center"/>
          </w:tcPr>
          <w:p w14:paraId="2516A4F7" w14:textId="77777777" w:rsidR="0094150F" w:rsidRDefault="00000000" w:rsidP="00820D1B">
            <w:pPr>
              <w:jc w:val="center"/>
            </w:pPr>
            <w:r>
              <w:rPr>
                <w:sz w:val="17"/>
              </w:rPr>
              <w:t>2.88 (1.92–3.84)</w:t>
            </w:r>
          </w:p>
        </w:tc>
        <w:tc>
          <w:tcPr>
            <w:tcW w:w="2520" w:type="dxa"/>
            <w:vAlign w:val="center"/>
          </w:tcPr>
          <w:p w14:paraId="70C36E7F" w14:textId="77777777" w:rsidR="0094150F" w:rsidRDefault="00000000" w:rsidP="00820D1B">
            <w:pPr>
              <w:jc w:val="center"/>
            </w:pPr>
            <w:r>
              <w:rPr>
                <w:sz w:val="17"/>
              </w:rPr>
              <w:t>0.215</w:t>
            </w:r>
          </w:p>
        </w:tc>
      </w:tr>
      <w:tr w:rsidR="0094150F" w14:paraId="2457D08B" w14:textId="77777777" w:rsidTr="00820D1B">
        <w:trPr>
          <w:jc w:val="center"/>
        </w:trPr>
        <w:tc>
          <w:tcPr>
            <w:tcW w:w="2520" w:type="dxa"/>
            <w:vAlign w:val="center"/>
          </w:tcPr>
          <w:p w14:paraId="16C88D11" w14:textId="77777777" w:rsidR="0094150F" w:rsidRDefault="00000000" w:rsidP="00820D1B">
            <w:pPr>
              <w:jc w:val="center"/>
            </w:pPr>
            <w:r>
              <w:rPr>
                <w:sz w:val="17"/>
              </w:rPr>
              <w:t>Estimated sevoflurane consumption during maintenance, mL</w:t>
            </w:r>
          </w:p>
        </w:tc>
        <w:tc>
          <w:tcPr>
            <w:tcW w:w="2520" w:type="dxa"/>
            <w:vAlign w:val="center"/>
          </w:tcPr>
          <w:p w14:paraId="26D88B03" w14:textId="77777777" w:rsidR="0094150F" w:rsidRDefault="00000000" w:rsidP="00820D1B">
            <w:pPr>
              <w:jc w:val="center"/>
            </w:pPr>
            <w:r>
              <w:rPr>
                <w:sz w:val="17"/>
              </w:rPr>
              <w:t>7.58 (6.25–9.47)</w:t>
            </w:r>
          </w:p>
        </w:tc>
        <w:tc>
          <w:tcPr>
            <w:tcW w:w="2520" w:type="dxa"/>
            <w:vAlign w:val="center"/>
          </w:tcPr>
          <w:p w14:paraId="5C59B0A7" w14:textId="77777777" w:rsidR="0094150F" w:rsidRDefault="00000000" w:rsidP="00820D1B">
            <w:pPr>
              <w:jc w:val="center"/>
            </w:pPr>
            <w:r>
              <w:rPr>
                <w:sz w:val="17"/>
              </w:rPr>
              <w:t>7.10 (5.04–11.61)</w:t>
            </w:r>
          </w:p>
        </w:tc>
        <w:tc>
          <w:tcPr>
            <w:tcW w:w="2520" w:type="dxa"/>
            <w:vAlign w:val="center"/>
          </w:tcPr>
          <w:p w14:paraId="77DAEA34" w14:textId="77777777" w:rsidR="0094150F" w:rsidRDefault="00000000" w:rsidP="00820D1B">
            <w:pPr>
              <w:jc w:val="center"/>
            </w:pPr>
            <w:r>
              <w:rPr>
                <w:sz w:val="17"/>
              </w:rPr>
              <w:t>0.560</w:t>
            </w:r>
          </w:p>
        </w:tc>
      </w:tr>
      <w:tr w:rsidR="0094150F" w14:paraId="0496312A" w14:textId="77777777" w:rsidTr="00820D1B">
        <w:trPr>
          <w:jc w:val="center"/>
        </w:trPr>
        <w:tc>
          <w:tcPr>
            <w:tcW w:w="2520" w:type="dxa"/>
            <w:vAlign w:val="center"/>
          </w:tcPr>
          <w:p w14:paraId="57E81D84" w14:textId="77777777" w:rsidR="0094150F" w:rsidRDefault="00000000" w:rsidP="00820D1B">
            <w:pPr>
              <w:jc w:val="center"/>
            </w:pPr>
            <w:r>
              <w:rPr>
                <w:sz w:val="17"/>
              </w:rPr>
              <w:t>Estimated total sevoflurane consumption, mL</w:t>
            </w:r>
          </w:p>
        </w:tc>
        <w:tc>
          <w:tcPr>
            <w:tcW w:w="2520" w:type="dxa"/>
            <w:vAlign w:val="center"/>
          </w:tcPr>
          <w:p w14:paraId="7EC1338E" w14:textId="77777777" w:rsidR="0094150F" w:rsidRDefault="00000000" w:rsidP="00820D1B">
            <w:pPr>
              <w:jc w:val="center"/>
            </w:pPr>
            <w:r>
              <w:rPr>
                <w:sz w:val="17"/>
              </w:rPr>
              <w:t>10.44 (9.00–12.22)</w:t>
            </w:r>
          </w:p>
        </w:tc>
        <w:tc>
          <w:tcPr>
            <w:tcW w:w="2520" w:type="dxa"/>
            <w:vAlign w:val="center"/>
          </w:tcPr>
          <w:p w14:paraId="54E3D049" w14:textId="77777777" w:rsidR="0094150F" w:rsidRDefault="00000000" w:rsidP="00820D1B">
            <w:pPr>
              <w:jc w:val="center"/>
            </w:pPr>
            <w:r>
              <w:rPr>
                <w:sz w:val="17"/>
              </w:rPr>
              <w:t>10.59 (8.51–15.06)</w:t>
            </w:r>
          </w:p>
        </w:tc>
        <w:tc>
          <w:tcPr>
            <w:tcW w:w="2520" w:type="dxa"/>
            <w:vAlign w:val="center"/>
          </w:tcPr>
          <w:p w14:paraId="42BA6A8B" w14:textId="77777777" w:rsidR="0094150F" w:rsidRDefault="00000000" w:rsidP="00820D1B">
            <w:pPr>
              <w:jc w:val="center"/>
            </w:pPr>
            <w:r>
              <w:rPr>
                <w:sz w:val="17"/>
              </w:rPr>
              <w:t>0.939</w:t>
            </w:r>
          </w:p>
        </w:tc>
      </w:tr>
      <w:tr w:rsidR="0094150F" w14:paraId="34BEBC98" w14:textId="77777777" w:rsidTr="00820D1B">
        <w:trPr>
          <w:jc w:val="center"/>
        </w:trPr>
        <w:tc>
          <w:tcPr>
            <w:tcW w:w="2520" w:type="dxa"/>
            <w:vAlign w:val="center"/>
          </w:tcPr>
          <w:p w14:paraId="10E8C37F" w14:textId="77777777" w:rsidR="0094150F" w:rsidRDefault="00000000" w:rsidP="00820D1B">
            <w:pPr>
              <w:jc w:val="center"/>
            </w:pPr>
            <w:r>
              <w:rPr>
                <w:sz w:val="17"/>
              </w:rPr>
              <w:t>Estimated consumption per minute, mL min−1</w:t>
            </w:r>
          </w:p>
        </w:tc>
        <w:tc>
          <w:tcPr>
            <w:tcW w:w="2520" w:type="dxa"/>
            <w:vAlign w:val="center"/>
          </w:tcPr>
          <w:p w14:paraId="4CA08B32" w14:textId="77777777" w:rsidR="0094150F" w:rsidRDefault="00000000" w:rsidP="00820D1B">
            <w:pPr>
              <w:jc w:val="center"/>
            </w:pPr>
            <w:r>
              <w:rPr>
                <w:sz w:val="17"/>
              </w:rPr>
              <w:t>0.45 (0.42–0.48)</w:t>
            </w:r>
          </w:p>
        </w:tc>
        <w:tc>
          <w:tcPr>
            <w:tcW w:w="2520" w:type="dxa"/>
            <w:vAlign w:val="center"/>
          </w:tcPr>
          <w:p w14:paraId="4608CF83" w14:textId="77777777" w:rsidR="0094150F" w:rsidRDefault="00000000" w:rsidP="00820D1B">
            <w:pPr>
              <w:jc w:val="center"/>
            </w:pPr>
            <w:r>
              <w:rPr>
                <w:sz w:val="17"/>
              </w:rPr>
              <w:t>0.45 (0.42–0.48)</w:t>
            </w:r>
          </w:p>
        </w:tc>
        <w:tc>
          <w:tcPr>
            <w:tcW w:w="2520" w:type="dxa"/>
            <w:vAlign w:val="center"/>
          </w:tcPr>
          <w:p w14:paraId="5B0D9FF7" w14:textId="77777777" w:rsidR="0094150F" w:rsidRDefault="00000000" w:rsidP="00820D1B">
            <w:pPr>
              <w:jc w:val="center"/>
            </w:pPr>
            <w:r>
              <w:rPr>
                <w:sz w:val="17"/>
              </w:rPr>
              <w:t>0.916</w:t>
            </w:r>
          </w:p>
        </w:tc>
      </w:tr>
    </w:tbl>
    <w:p w14:paraId="1455E259" w14:textId="77777777" w:rsidR="0094150F" w:rsidRDefault="00000000">
      <w:r>
        <w:rPr>
          <w:sz w:val="17"/>
        </w:rPr>
        <w:t>Note: Data are median (IQR). MAC, minimum alveolar concentration. MAC values were recorded at selected perioperative time points; MAC-time exposure and consumption values are estimated proxies, with induction and maintenance components shown separately. These measures do not constitute continuous recordings of inspired, end-tidal, alveolar, or cerebral sevoflurane concentrations during initial mask induction. P values are from Mann–Whitney U tests.</w:t>
      </w:r>
    </w:p>
    <w:p w14:paraId="3DD91C9D" w14:textId="77777777" w:rsidR="0094150F" w:rsidRDefault="00000000">
      <w:r>
        <w:rPr>
          <w:b/>
          <w:sz w:val="21"/>
        </w:rPr>
        <w:t>Supplementary Table S3. Tidal volume normalized to body weight</w:t>
      </w:r>
    </w:p>
    <w:tbl>
      <w:tblPr>
        <w:tblStyle w:val="aff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4"/>
        <w:gridCol w:w="2468"/>
        <w:gridCol w:w="2468"/>
        <w:gridCol w:w="2464"/>
      </w:tblGrid>
      <w:tr w:rsidR="0094150F" w14:paraId="5507089F" w14:textId="77777777" w:rsidTr="00820D1B">
        <w:trPr>
          <w:tblHeader/>
          <w:jc w:val="center"/>
        </w:trPr>
        <w:tc>
          <w:tcPr>
            <w:tcW w:w="2520" w:type="dxa"/>
            <w:tcBorders>
              <w:bottom w:val="single" w:sz="4" w:space="0" w:color="auto"/>
            </w:tcBorders>
            <w:vAlign w:val="center"/>
          </w:tcPr>
          <w:p w14:paraId="4D2B9A49" w14:textId="77777777" w:rsidR="0094150F" w:rsidRDefault="00000000" w:rsidP="00820D1B">
            <w:pPr>
              <w:jc w:val="center"/>
            </w:pPr>
            <w:r>
              <w:rPr>
                <w:b/>
                <w:sz w:val="17"/>
              </w:rPr>
              <w:t>Time point</w:t>
            </w:r>
          </w:p>
        </w:tc>
        <w:tc>
          <w:tcPr>
            <w:tcW w:w="2520" w:type="dxa"/>
            <w:tcBorders>
              <w:bottom w:val="single" w:sz="4" w:space="0" w:color="auto"/>
            </w:tcBorders>
            <w:vAlign w:val="center"/>
          </w:tcPr>
          <w:p w14:paraId="1CCAC7E6" w14:textId="77777777" w:rsidR="0094150F" w:rsidRDefault="00000000" w:rsidP="00820D1B">
            <w:pPr>
              <w:jc w:val="center"/>
            </w:pPr>
            <w:r>
              <w:rPr>
                <w:b/>
                <w:sz w:val="17"/>
              </w:rPr>
              <w:t>6% setting, mL kg−1</w:t>
            </w:r>
          </w:p>
        </w:tc>
        <w:tc>
          <w:tcPr>
            <w:tcW w:w="2520" w:type="dxa"/>
            <w:tcBorders>
              <w:bottom w:val="single" w:sz="4" w:space="0" w:color="auto"/>
            </w:tcBorders>
            <w:vAlign w:val="center"/>
          </w:tcPr>
          <w:p w14:paraId="2A63932E" w14:textId="77777777" w:rsidR="0094150F" w:rsidRDefault="00000000" w:rsidP="00820D1B">
            <w:pPr>
              <w:jc w:val="center"/>
            </w:pPr>
            <w:r>
              <w:rPr>
                <w:b/>
                <w:sz w:val="17"/>
              </w:rPr>
              <w:t>8% setting, mL kg−1</w:t>
            </w:r>
          </w:p>
        </w:tc>
        <w:tc>
          <w:tcPr>
            <w:tcW w:w="2520" w:type="dxa"/>
            <w:tcBorders>
              <w:bottom w:val="single" w:sz="4" w:space="0" w:color="auto"/>
            </w:tcBorders>
            <w:vAlign w:val="center"/>
          </w:tcPr>
          <w:p w14:paraId="49121045" w14:textId="77777777" w:rsidR="0094150F" w:rsidRDefault="00000000" w:rsidP="00820D1B">
            <w:pPr>
              <w:jc w:val="center"/>
            </w:pPr>
            <w:r>
              <w:rPr>
                <w:b/>
                <w:sz w:val="17"/>
              </w:rPr>
              <w:t>P value</w:t>
            </w:r>
          </w:p>
        </w:tc>
      </w:tr>
      <w:tr w:rsidR="0094150F" w14:paraId="6057174C" w14:textId="77777777" w:rsidTr="00820D1B">
        <w:trPr>
          <w:jc w:val="center"/>
        </w:trPr>
        <w:tc>
          <w:tcPr>
            <w:tcW w:w="2520" w:type="dxa"/>
            <w:tcBorders>
              <w:top w:val="single" w:sz="4" w:space="0" w:color="auto"/>
              <w:bottom w:val="nil"/>
            </w:tcBorders>
            <w:vAlign w:val="center"/>
          </w:tcPr>
          <w:p w14:paraId="09E2A8A3" w14:textId="77777777" w:rsidR="0094150F" w:rsidRDefault="00000000" w:rsidP="00820D1B">
            <w:pPr>
              <w:jc w:val="center"/>
            </w:pPr>
            <w:r>
              <w:rPr>
                <w:sz w:val="17"/>
              </w:rPr>
              <w:t>T1</w:t>
            </w:r>
          </w:p>
        </w:tc>
        <w:tc>
          <w:tcPr>
            <w:tcW w:w="2520" w:type="dxa"/>
            <w:tcBorders>
              <w:top w:val="single" w:sz="4" w:space="0" w:color="auto"/>
              <w:bottom w:val="nil"/>
            </w:tcBorders>
            <w:vAlign w:val="center"/>
          </w:tcPr>
          <w:p w14:paraId="576C25C4" w14:textId="77777777" w:rsidR="0094150F" w:rsidRDefault="00000000" w:rsidP="00820D1B">
            <w:pPr>
              <w:jc w:val="center"/>
            </w:pPr>
            <w:r>
              <w:rPr>
                <w:sz w:val="17"/>
              </w:rPr>
              <w:t>7.95 (6.84–9.65)</w:t>
            </w:r>
          </w:p>
        </w:tc>
        <w:tc>
          <w:tcPr>
            <w:tcW w:w="2520" w:type="dxa"/>
            <w:tcBorders>
              <w:top w:val="single" w:sz="4" w:space="0" w:color="auto"/>
              <w:bottom w:val="nil"/>
            </w:tcBorders>
            <w:vAlign w:val="center"/>
          </w:tcPr>
          <w:p w14:paraId="6AF1C504" w14:textId="77777777" w:rsidR="0094150F" w:rsidRDefault="00000000" w:rsidP="00820D1B">
            <w:pPr>
              <w:jc w:val="center"/>
            </w:pPr>
            <w:r>
              <w:rPr>
                <w:sz w:val="17"/>
              </w:rPr>
              <w:t>6.98 (5.42–8.90)</w:t>
            </w:r>
          </w:p>
        </w:tc>
        <w:tc>
          <w:tcPr>
            <w:tcW w:w="2520" w:type="dxa"/>
            <w:tcBorders>
              <w:top w:val="single" w:sz="4" w:space="0" w:color="auto"/>
              <w:bottom w:val="nil"/>
            </w:tcBorders>
            <w:vAlign w:val="center"/>
          </w:tcPr>
          <w:p w14:paraId="58200B1C" w14:textId="77777777" w:rsidR="0094150F" w:rsidRDefault="00000000" w:rsidP="00820D1B">
            <w:pPr>
              <w:jc w:val="center"/>
            </w:pPr>
            <w:r>
              <w:rPr>
                <w:sz w:val="17"/>
              </w:rPr>
              <w:t>0.035</w:t>
            </w:r>
          </w:p>
        </w:tc>
      </w:tr>
      <w:tr w:rsidR="0094150F" w14:paraId="1A943771" w14:textId="77777777" w:rsidTr="00820D1B">
        <w:trPr>
          <w:jc w:val="center"/>
        </w:trPr>
        <w:tc>
          <w:tcPr>
            <w:tcW w:w="2520" w:type="dxa"/>
            <w:tcBorders>
              <w:top w:val="nil"/>
            </w:tcBorders>
            <w:vAlign w:val="center"/>
          </w:tcPr>
          <w:p w14:paraId="0825AE8E" w14:textId="77777777" w:rsidR="0094150F" w:rsidRDefault="00000000" w:rsidP="00820D1B">
            <w:pPr>
              <w:jc w:val="center"/>
            </w:pPr>
            <w:r>
              <w:rPr>
                <w:sz w:val="17"/>
              </w:rPr>
              <w:t>T2</w:t>
            </w:r>
          </w:p>
        </w:tc>
        <w:tc>
          <w:tcPr>
            <w:tcW w:w="2520" w:type="dxa"/>
            <w:tcBorders>
              <w:top w:val="nil"/>
            </w:tcBorders>
            <w:vAlign w:val="center"/>
          </w:tcPr>
          <w:p w14:paraId="28A63F4D" w14:textId="77777777" w:rsidR="0094150F" w:rsidRDefault="00000000" w:rsidP="00820D1B">
            <w:pPr>
              <w:jc w:val="center"/>
            </w:pPr>
            <w:r>
              <w:rPr>
                <w:sz w:val="17"/>
              </w:rPr>
              <w:t>8.54 (6.24–9.73)</w:t>
            </w:r>
          </w:p>
        </w:tc>
        <w:tc>
          <w:tcPr>
            <w:tcW w:w="2520" w:type="dxa"/>
            <w:tcBorders>
              <w:top w:val="nil"/>
            </w:tcBorders>
            <w:vAlign w:val="center"/>
          </w:tcPr>
          <w:p w14:paraId="0CD72BEA" w14:textId="77777777" w:rsidR="0094150F" w:rsidRDefault="00000000" w:rsidP="00820D1B">
            <w:pPr>
              <w:jc w:val="center"/>
            </w:pPr>
            <w:r>
              <w:rPr>
                <w:sz w:val="17"/>
              </w:rPr>
              <w:t>7.04 (6.00–8.83)</w:t>
            </w:r>
          </w:p>
        </w:tc>
        <w:tc>
          <w:tcPr>
            <w:tcW w:w="2520" w:type="dxa"/>
            <w:tcBorders>
              <w:top w:val="nil"/>
            </w:tcBorders>
            <w:vAlign w:val="center"/>
          </w:tcPr>
          <w:p w14:paraId="35BC79AA" w14:textId="77777777" w:rsidR="0094150F" w:rsidRDefault="00000000" w:rsidP="00820D1B">
            <w:pPr>
              <w:jc w:val="center"/>
            </w:pPr>
            <w:r>
              <w:rPr>
                <w:sz w:val="17"/>
              </w:rPr>
              <w:t>0.145</w:t>
            </w:r>
          </w:p>
        </w:tc>
      </w:tr>
      <w:tr w:rsidR="0094150F" w14:paraId="4B77AD13" w14:textId="77777777" w:rsidTr="00820D1B">
        <w:trPr>
          <w:jc w:val="center"/>
        </w:trPr>
        <w:tc>
          <w:tcPr>
            <w:tcW w:w="2520" w:type="dxa"/>
            <w:vAlign w:val="center"/>
          </w:tcPr>
          <w:p w14:paraId="431FA4DF" w14:textId="77777777" w:rsidR="0094150F" w:rsidRDefault="00000000" w:rsidP="00820D1B">
            <w:pPr>
              <w:jc w:val="center"/>
            </w:pPr>
            <w:r>
              <w:rPr>
                <w:sz w:val="17"/>
              </w:rPr>
              <w:t>T3</w:t>
            </w:r>
          </w:p>
        </w:tc>
        <w:tc>
          <w:tcPr>
            <w:tcW w:w="2520" w:type="dxa"/>
            <w:vAlign w:val="center"/>
          </w:tcPr>
          <w:p w14:paraId="3004C90B" w14:textId="77777777" w:rsidR="0094150F" w:rsidRDefault="00000000" w:rsidP="00820D1B">
            <w:pPr>
              <w:jc w:val="center"/>
            </w:pPr>
            <w:r>
              <w:rPr>
                <w:sz w:val="17"/>
              </w:rPr>
              <w:t>7.55 (6.53–9.22)</w:t>
            </w:r>
          </w:p>
        </w:tc>
        <w:tc>
          <w:tcPr>
            <w:tcW w:w="2520" w:type="dxa"/>
            <w:vAlign w:val="center"/>
          </w:tcPr>
          <w:p w14:paraId="42A17028" w14:textId="77777777" w:rsidR="0094150F" w:rsidRDefault="00000000" w:rsidP="00820D1B">
            <w:pPr>
              <w:jc w:val="center"/>
            </w:pPr>
            <w:r>
              <w:rPr>
                <w:sz w:val="17"/>
              </w:rPr>
              <w:t>6.82 (5.77–8.32)</w:t>
            </w:r>
          </w:p>
        </w:tc>
        <w:tc>
          <w:tcPr>
            <w:tcW w:w="2520" w:type="dxa"/>
            <w:vAlign w:val="center"/>
          </w:tcPr>
          <w:p w14:paraId="46587B1C" w14:textId="77777777" w:rsidR="0094150F" w:rsidRDefault="00000000" w:rsidP="00820D1B">
            <w:pPr>
              <w:jc w:val="center"/>
            </w:pPr>
            <w:r>
              <w:rPr>
                <w:sz w:val="17"/>
              </w:rPr>
              <w:t>0.084</w:t>
            </w:r>
          </w:p>
        </w:tc>
      </w:tr>
    </w:tbl>
    <w:p w14:paraId="49378BD1" w14:textId="77777777" w:rsidR="0094150F" w:rsidRDefault="00000000">
      <w:r>
        <w:rPr>
          <w:sz w:val="17"/>
        </w:rPr>
        <w:t>Note: Data are median (IQR). Tidal volume was not prospectively validated as a measure of mask leakage and cannot establish the sevoflurane concentration achieved in an individual child.</w:t>
      </w:r>
    </w:p>
    <w:p w14:paraId="72FBA990" w14:textId="77777777" w:rsidR="0094150F" w:rsidRDefault="00000000">
      <w:r>
        <w:br w:type="page"/>
      </w:r>
    </w:p>
    <w:p w14:paraId="3BA4F4F2" w14:textId="77777777" w:rsidR="00D6145B" w:rsidRDefault="00000000">
      <w:r>
        <w:rPr>
          <w:b/>
        </w:rPr>
        <w:lastRenderedPageBreak/>
        <w:t>Supplementary Table S4. Recorded perioperative adverse-event categories by randomized group</w:t>
      </w:r>
    </w:p>
    <w:tbl>
      <w:tblPr>
        <w:tblStyle w:val="aff1"/>
        <w:tblW w:w="982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0"/>
        <w:gridCol w:w="2087"/>
        <w:gridCol w:w="2087"/>
      </w:tblGrid>
      <w:tr w:rsidR="00D6145B" w:rsidRPr="00C971B3" w14:paraId="772D6E6F" w14:textId="77777777" w:rsidTr="00175012">
        <w:trPr>
          <w:trHeight w:val="345"/>
          <w:jc w:val="center"/>
        </w:trPr>
        <w:tc>
          <w:tcPr>
            <w:tcW w:w="0" w:type="auto"/>
            <w:tcBorders>
              <w:bottom w:val="single" w:sz="4" w:space="0" w:color="auto"/>
            </w:tcBorders>
            <w:vAlign w:val="center"/>
          </w:tcPr>
          <w:p w14:paraId="4255B6AA" w14:textId="77777777" w:rsidR="00D6145B" w:rsidRPr="00C971B3" w:rsidRDefault="00000000" w:rsidP="00C971B3">
            <w:pPr>
              <w:jc w:val="center"/>
              <w:rPr>
                <w:b/>
                <w:sz w:val="17"/>
              </w:rPr>
            </w:pPr>
            <w:r w:rsidRPr="00C971B3">
              <w:rPr>
                <w:b/>
                <w:sz w:val="17"/>
              </w:rPr>
              <w:t>Recorded event category</w:t>
            </w:r>
          </w:p>
        </w:tc>
        <w:tc>
          <w:tcPr>
            <w:tcW w:w="0" w:type="auto"/>
            <w:tcBorders>
              <w:bottom w:val="single" w:sz="4" w:space="0" w:color="auto"/>
            </w:tcBorders>
            <w:vAlign w:val="center"/>
          </w:tcPr>
          <w:p w14:paraId="6D4D6DEC" w14:textId="77777777" w:rsidR="00D6145B" w:rsidRPr="00C971B3" w:rsidRDefault="00000000" w:rsidP="00C971B3">
            <w:pPr>
              <w:jc w:val="center"/>
              <w:rPr>
                <w:b/>
                <w:sz w:val="17"/>
              </w:rPr>
            </w:pPr>
            <w:r w:rsidRPr="00C971B3">
              <w:rPr>
                <w:b/>
                <w:sz w:val="17"/>
              </w:rPr>
              <w:t>6% setting (n=40)</w:t>
            </w:r>
          </w:p>
        </w:tc>
        <w:tc>
          <w:tcPr>
            <w:tcW w:w="0" w:type="auto"/>
            <w:tcBorders>
              <w:bottom w:val="single" w:sz="4" w:space="0" w:color="auto"/>
            </w:tcBorders>
            <w:vAlign w:val="center"/>
          </w:tcPr>
          <w:p w14:paraId="4E7EF297" w14:textId="77777777" w:rsidR="00D6145B" w:rsidRPr="00C971B3" w:rsidRDefault="00000000" w:rsidP="00C971B3">
            <w:pPr>
              <w:jc w:val="center"/>
              <w:rPr>
                <w:b/>
                <w:sz w:val="17"/>
              </w:rPr>
            </w:pPr>
            <w:r w:rsidRPr="00C971B3">
              <w:rPr>
                <w:b/>
                <w:sz w:val="17"/>
              </w:rPr>
              <w:t>8% setting (n=40)</w:t>
            </w:r>
          </w:p>
        </w:tc>
      </w:tr>
      <w:tr w:rsidR="00D6145B" w14:paraId="2CD47FFD" w14:textId="77777777" w:rsidTr="00175012">
        <w:trPr>
          <w:trHeight w:val="421"/>
          <w:jc w:val="center"/>
        </w:trPr>
        <w:tc>
          <w:tcPr>
            <w:tcW w:w="0" w:type="auto"/>
            <w:tcBorders>
              <w:top w:val="single" w:sz="4" w:space="0" w:color="auto"/>
              <w:bottom w:val="nil"/>
            </w:tcBorders>
            <w:vAlign w:val="center"/>
          </w:tcPr>
          <w:p w14:paraId="24F28187" w14:textId="77777777" w:rsidR="00D6145B" w:rsidRDefault="00000000" w:rsidP="00C971B3">
            <w:pPr>
              <w:jc w:val="center"/>
            </w:pPr>
            <w:r>
              <w:t>At least one event recorded at T1–T4, n (%)</w:t>
            </w:r>
          </w:p>
        </w:tc>
        <w:tc>
          <w:tcPr>
            <w:tcW w:w="0" w:type="auto"/>
            <w:tcBorders>
              <w:top w:val="single" w:sz="4" w:space="0" w:color="auto"/>
              <w:bottom w:val="nil"/>
            </w:tcBorders>
            <w:vAlign w:val="center"/>
          </w:tcPr>
          <w:p w14:paraId="065FCC6C" w14:textId="77777777" w:rsidR="00D6145B" w:rsidRDefault="00000000" w:rsidP="00C971B3">
            <w:pPr>
              <w:jc w:val="center"/>
            </w:pPr>
            <w:r>
              <w:t>4 (10.0)</w:t>
            </w:r>
          </w:p>
        </w:tc>
        <w:tc>
          <w:tcPr>
            <w:tcW w:w="0" w:type="auto"/>
            <w:tcBorders>
              <w:top w:val="single" w:sz="4" w:space="0" w:color="auto"/>
              <w:bottom w:val="nil"/>
            </w:tcBorders>
            <w:vAlign w:val="center"/>
          </w:tcPr>
          <w:p w14:paraId="2431FD70" w14:textId="77777777" w:rsidR="00D6145B" w:rsidRDefault="00000000" w:rsidP="00C971B3">
            <w:pPr>
              <w:jc w:val="center"/>
            </w:pPr>
            <w:r>
              <w:t>5 (12.5)</w:t>
            </w:r>
          </w:p>
        </w:tc>
      </w:tr>
      <w:tr w:rsidR="00D6145B" w14:paraId="1D9ED9F6" w14:textId="77777777" w:rsidTr="00175012">
        <w:trPr>
          <w:trHeight w:val="421"/>
          <w:jc w:val="center"/>
        </w:trPr>
        <w:tc>
          <w:tcPr>
            <w:tcW w:w="0" w:type="auto"/>
            <w:tcBorders>
              <w:top w:val="nil"/>
            </w:tcBorders>
            <w:vAlign w:val="center"/>
          </w:tcPr>
          <w:p w14:paraId="6F3EDFA1" w14:textId="77777777" w:rsidR="00D6145B" w:rsidRDefault="00000000" w:rsidP="00C971B3">
            <w:pPr>
              <w:jc w:val="center"/>
            </w:pPr>
            <w:r>
              <w:t>Induction-stage body movement, n</w:t>
            </w:r>
          </w:p>
        </w:tc>
        <w:tc>
          <w:tcPr>
            <w:tcW w:w="0" w:type="auto"/>
            <w:tcBorders>
              <w:top w:val="nil"/>
            </w:tcBorders>
            <w:vAlign w:val="center"/>
          </w:tcPr>
          <w:p w14:paraId="5A1611B5" w14:textId="77777777" w:rsidR="00D6145B" w:rsidRDefault="00000000" w:rsidP="00C971B3">
            <w:pPr>
              <w:jc w:val="center"/>
            </w:pPr>
            <w:r>
              <w:t>2</w:t>
            </w:r>
          </w:p>
        </w:tc>
        <w:tc>
          <w:tcPr>
            <w:tcW w:w="0" w:type="auto"/>
            <w:tcBorders>
              <w:top w:val="nil"/>
            </w:tcBorders>
            <w:vAlign w:val="center"/>
          </w:tcPr>
          <w:p w14:paraId="1BB22E17" w14:textId="77777777" w:rsidR="00D6145B" w:rsidRDefault="00000000" w:rsidP="00C971B3">
            <w:pPr>
              <w:jc w:val="center"/>
            </w:pPr>
            <w:r>
              <w:t>3</w:t>
            </w:r>
          </w:p>
        </w:tc>
      </w:tr>
      <w:tr w:rsidR="00D6145B" w14:paraId="70E3725D" w14:textId="77777777" w:rsidTr="00175012">
        <w:trPr>
          <w:trHeight w:val="421"/>
          <w:jc w:val="center"/>
        </w:trPr>
        <w:tc>
          <w:tcPr>
            <w:tcW w:w="0" w:type="auto"/>
            <w:vAlign w:val="center"/>
          </w:tcPr>
          <w:p w14:paraId="721C6F48" w14:textId="77777777" w:rsidR="00D6145B" w:rsidRDefault="00000000" w:rsidP="00C971B3">
            <w:pPr>
              <w:jc w:val="center"/>
            </w:pPr>
            <w:r>
              <w:t>Induction-stage airway hyperreactivity, n</w:t>
            </w:r>
          </w:p>
        </w:tc>
        <w:tc>
          <w:tcPr>
            <w:tcW w:w="0" w:type="auto"/>
            <w:vAlign w:val="center"/>
          </w:tcPr>
          <w:p w14:paraId="47E610D8" w14:textId="77777777" w:rsidR="00D6145B" w:rsidRDefault="00000000" w:rsidP="00C971B3">
            <w:pPr>
              <w:jc w:val="center"/>
            </w:pPr>
            <w:r>
              <w:t>1</w:t>
            </w:r>
          </w:p>
        </w:tc>
        <w:tc>
          <w:tcPr>
            <w:tcW w:w="0" w:type="auto"/>
            <w:vAlign w:val="center"/>
          </w:tcPr>
          <w:p w14:paraId="602119B1" w14:textId="77777777" w:rsidR="00D6145B" w:rsidRDefault="00000000" w:rsidP="00C971B3">
            <w:pPr>
              <w:jc w:val="center"/>
            </w:pPr>
            <w:r>
              <w:t>0</w:t>
            </w:r>
          </w:p>
        </w:tc>
      </w:tr>
      <w:tr w:rsidR="00D6145B" w14:paraId="5DAFB653" w14:textId="77777777" w:rsidTr="00175012">
        <w:trPr>
          <w:trHeight w:val="433"/>
          <w:jc w:val="center"/>
        </w:trPr>
        <w:tc>
          <w:tcPr>
            <w:tcW w:w="0" w:type="auto"/>
            <w:vAlign w:val="center"/>
          </w:tcPr>
          <w:p w14:paraId="60A75C89" w14:textId="77777777" w:rsidR="00D6145B" w:rsidRDefault="00000000" w:rsidP="00C971B3">
            <w:pPr>
              <w:jc w:val="center"/>
            </w:pPr>
            <w:r>
              <w:t>Recovery-stage coughing (T4), n</w:t>
            </w:r>
          </w:p>
        </w:tc>
        <w:tc>
          <w:tcPr>
            <w:tcW w:w="0" w:type="auto"/>
            <w:vAlign w:val="center"/>
          </w:tcPr>
          <w:p w14:paraId="0F95CC43" w14:textId="77777777" w:rsidR="00D6145B" w:rsidRDefault="00000000" w:rsidP="00C971B3">
            <w:pPr>
              <w:jc w:val="center"/>
            </w:pPr>
            <w:r>
              <w:t>1</w:t>
            </w:r>
          </w:p>
        </w:tc>
        <w:tc>
          <w:tcPr>
            <w:tcW w:w="0" w:type="auto"/>
            <w:vAlign w:val="center"/>
          </w:tcPr>
          <w:p w14:paraId="00C9EDAD" w14:textId="77777777" w:rsidR="00D6145B" w:rsidRDefault="00000000" w:rsidP="00C971B3">
            <w:pPr>
              <w:jc w:val="center"/>
            </w:pPr>
            <w:r>
              <w:t>2</w:t>
            </w:r>
          </w:p>
        </w:tc>
      </w:tr>
      <w:tr w:rsidR="00D6145B" w14:paraId="4B2EA2F9" w14:textId="77777777" w:rsidTr="00175012">
        <w:trPr>
          <w:trHeight w:val="421"/>
          <w:jc w:val="center"/>
        </w:trPr>
        <w:tc>
          <w:tcPr>
            <w:tcW w:w="0" w:type="auto"/>
            <w:vAlign w:val="center"/>
          </w:tcPr>
          <w:p w14:paraId="38F27C00" w14:textId="77777777" w:rsidR="00D6145B" w:rsidRDefault="00000000" w:rsidP="00C971B3">
            <w:pPr>
              <w:jc w:val="center"/>
            </w:pPr>
            <w:r>
              <w:t>Respiratory depression code at T1–T4, n</w:t>
            </w:r>
          </w:p>
        </w:tc>
        <w:tc>
          <w:tcPr>
            <w:tcW w:w="0" w:type="auto"/>
            <w:vAlign w:val="center"/>
          </w:tcPr>
          <w:p w14:paraId="498BD5E1" w14:textId="77777777" w:rsidR="00D6145B" w:rsidRDefault="00000000" w:rsidP="00C971B3">
            <w:pPr>
              <w:jc w:val="center"/>
            </w:pPr>
            <w:r>
              <w:t>0</w:t>
            </w:r>
          </w:p>
        </w:tc>
        <w:tc>
          <w:tcPr>
            <w:tcW w:w="0" w:type="auto"/>
            <w:vAlign w:val="center"/>
          </w:tcPr>
          <w:p w14:paraId="1498F654" w14:textId="77777777" w:rsidR="00D6145B" w:rsidRDefault="00000000" w:rsidP="00C971B3">
            <w:pPr>
              <w:jc w:val="center"/>
            </w:pPr>
            <w:r>
              <w:t>0</w:t>
            </w:r>
          </w:p>
        </w:tc>
      </w:tr>
      <w:tr w:rsidR="00D6145B" w14:paraId="59AA4957" w14:textId="77777777" w:rsidTr="00175012">
        <w:trPr>
          <w:trHeight w:val="421"/>
          <w:jc w:val="center"/>
        </w:trPr>
        <w:tc>
          <w:tcPr>
            <w:tcW w:w="0" w:type="auto"/>
            <w:vAlign w:val="center"/>
          </w:tcPr>
          <w:p w14:paraId="572EF59C" w14:textId="77777777" w:rsidR="00D6145B" w:rsidRDefault="00000000" w:rsidP="00C971B3">
            <w:pPr>
              <w:jc w:val="center"/>
            </w:pPr>
            <w:r>
              <w:t>Hypoxia code at T1–T4, n</w:t>
            </w:r>
          </w:p>
        </w:tc>
        <w:tc>
          <w:tcPr>
            <w:tcW w:w="0" w:type="auto"/>
            <w:vAlign w:val="center"/>
          </w:tcPr>
          <w:p w14:paraId="3F9142A1" w14:textId="77777777" w:rsidR="00D6145B" w:rsidRDefault="00000000" w:rsidP="00C971B3">
            <w:pPr>
              <w:jc w:val="center"/>
            </w:pPr>
            <w:r>
              <w:t>0</w:t>
            </w:r>
          </w:p>
        </w:tc>
        <w:tc>
          <w:tcPr>
            <w:tcW w:w="0" w:type="auto"/>
            <w:vAlign w:val="center"/>
          </w:tcPr>
          <w:p w14:paraId="42B5F5FA" w14:textId="77777777" w:rsidR="00D6145B" w:rsidRDefault="00000000" w:rsidP="00C971B3">
            <w:pPr>
              <w:jc w:val="center"/>
            </w:pPr>
            <w:r>
              <w:t>0</w:t>
            </w:r>
          </w:p>
        </w:tc>
      </w:tr>
      <w:tr w:rsidR="00D6145B" w14:paraId="5D245674" w14:textId="77777777" w:rsidTr="00175012">
        <w:trPr>
          <w:trHeight w:val="421"/>
          <w:jc w:val="center"/>
        </w:trPr>
        <w:tc>
          <w:tcPr>
            <w:tcW w:w="0" w:type="auto"/>
            <w:vAlign w:val="center"/>
          </w:tcPr>
          <w:p w14:paraId="74CC806B" w14:textId="77777777" w:rsidR="00D6145B" w:rsidRDefault="00000000" w:rsidP="00C971B3">
            <w:pPr>
              <w:jc w:val="center"/>
            </w:pPr>
            <w:r>
              <w:t>Nausea or vomiting code at T1–T4, n</w:t>
            </w:r>
          </w:p>
        </w:tc>
        <w:tc>
          <w:tcPr>
            <w:tcW w:w="0" w:type="auto"/>
            <w:vAlign w:val="center"/>
          </w:tcPr>
          <w:p w14:paraId="646785B3" w14:textId="77777777" w:rsidR="00D6145B" w:rsidRDefault="00000000" w:rsidP="00C971B3">
            <w:pPr>
              <w:jc w:val="center"/>
            </w:pPr>
            <w:r>
              <w:t>0</w:t>
            </w:r>
          </w:p>
        </w:tc>
        <w:tc>
          <w:tcPr>
            <w:tcW w:w="0" w:type="auto"/>
            <w:vAlign w:val="center"/>
          </w:tcPr>
          <w:p w14:paraId="7281158A" w14:textId="77777777" w:rsidR="00D6145B" w:rsidRDefault="00000000" w:rsidP="00C971B3">
            <w:pPr>
              <w:jc w:val="center"/>
            </w:pPr>
            <w:r>
              <w:t>0</w:t>
            </w:r>
          </w:p>
        </w:tc>
      </w:tr>
    </w:tbl>
    <w:p w14:paraId="56157BC7" w14:textId="77777777" w:rsidR="00D6145B" w:rsidRDefault="00000000">
      <w:r>
        <w:t>Note: Counts are based on the 80 participant records and event codes in the T1–T4 adverse-event columns; repeated codes within a child were counted once per category. The zeros for respiratory depression, hypoxia, and nausea or vomiting indicate no entries with those labels in these columns, not confirmation that an event could not have occurred outside the recorded observation points. No new statistical hypothesis tests were performed for this descriptive table.</w:t>
      </w:r>
    </w:p>
    <w:p w14:paraId="113A60C1" w14:textId="77777777" w:rsidR="0094150F" w:rsidRDefault="00000000">
      <w:r>
        <w:rPr>
          <w:b/>
        </w:rPr>
        <w:t>Supplementary Figure S1. Distribution of PAED scores by randomized vaporizer-setting group.</w:t>
      </w:r>
    </w:p>
    <w:p w14:paraId="079E8F54" w14:textId="77777777" w:rsidR="0094150F" w:rsidRDefault="00000000">
      <w:r>
        <w:t>Boxes show the interquartile range and horizontal lines show medians; individual observations are overlaid.</w:t>
      </w:r>
    </w:p>
    <w:p w14:paraId="68ED3A5E" w14:textId="77777777" w:rsidR="0094150F" w:rsidRDefault="00000000">
      <w:r>
        <w:rPr>
          <w:noProof/>
        </w:rPr>
        <w:drawing>
          <wp:inline distT="0" distB="0" distL="0" distR="0" wp14:anchorId="22FDA25C" wp14:editId="774A77CA">
            <wp:extent cx="5852160" cy="44095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C_Additional_Figure_S1.tif"/>
                    <pic:cNvPicPr/>
                  </pic:nvPicPr>
                  <pic:blipFill>
                    <a:blip r:embed="rId6"/>
                    <a:stretch>
                      <a:fillRect/>
                    </a:stretch>
                  </pic:blipFill>
                  <pic:spPr>
                    <a:xfrm>
                      <a:off x="0" y="0"/>
                      <a:ext cx="5852160" cy="4409521"/>
                    </a:xfrm>
                    <a:prstGeom prst="rect">
                      <a:avLst/>
                    </a:prstGeom>
                  </pic:spPr>
                </pic:pic>
              </a:graphicData>
            </a:graphic>
          </wp:inline>
        </w:drawing>
      </w:r>
    </w:p>
    <w:p w14:paraId="6FE51278" w14:textId="77777777" w:rsidR="0094150F" w:rsidRDefault="00000000">
      <w:r>
        <w:br w:type="page"/>
      </w:r>
    </w:p>
    <w:p w14:paraId="42027C21" w14:textId="77777777" w:rsidR="0094150F" w:rsidRDefault="00000000">
      <w:r>
        <w:lastRenderedPageBreak/>
        <w:t>Supplementary Figure S2. Risk ratios for emergence delirium in post hoc exploratory and sensitivity analyses.</w:t>
      </w:r>
    </w:p>
    <w:p w14:paraId="7460E59C" w14:textId="77777777" w:rsidR="0094150F" w:rsidRDefault="00000000">
      <w:r>
        <w:t>Points indicate risk ratios for the 8% versus 6% vaporizer setting and horizontal bars indicate 95% confidence intervals. The x-axis is shown on a logarithmic scale, and the dashed vertical line denotes no association (risk ratio 1.0).</w:t>
      </w:r>
    </w:p>
    <w:p w14:paraId="445599E4" w14:textId="77777777" w:rsidR="0094150F" w:rsidRDefault="00000000">
      <w:r>
        <w:rPr>
          <w:noProof/>
        </w:rPr>
        <w:drawing>
          <wp:inline distT="0" distB="0" distL="0" distR="0" wp14:anchorId="7EE26E73" wp14:editId="4FB42B89">
            <wp:extent cx="5943600" cy="32029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Supplementary_Figure_S2_RR_forest_FINAL.png"/>
                    <pic:cNvPicPr/>
                  </pic:nvPicPr>
                  <pic:blipFill>
                    <a:blip r:embed="rId7"/>
                    <a:stretch>
                      <a:fillRect/>
                    </a:stretch>
                  </pic:blipFill>
                  <pic:spPr>
                    <a:xfrm>
                      <a:off x="0" y="0"/>
                      <a:ext cx="5943600" cy="3202902"/>
                    </a:xfrm>
                    <a:prstGeom prst="rect">
                      <a:avLst/>
                    </a:prstGeom>
                  </pic:spPr>
                </pic:pic>
              </a:graphicData>
            </a:graphic>
          </wp:inline>
        </w:drawing>
      </w:r>
    </w:p>
    <w:sectPr w:rsidR="0094150F"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4301618">
    <w:abstractNumId w:val="8"/>
  </w:num>
  <w:num w:numId="2" w16cid:durableId="2111464993">
    <w:abstractNumId w:val="6"/>
  </w:num>
  <w:num w:numId="3" w16cid:durableId="30813634">
    <w:abstractNumId w:val="5"/>
  </w:num>
  <w:num w:numId="4" w16cid:durableId="828668759">
    <w:abstractNumId w:val="4"/>
  </w:num>
  <w:num w:numId="5" w16cid:durableId="480317588">
    <w:abstractNumId w:val="7"/>
  </w:num>
  <w:num w:numId="6" w16cid:durableId="1945529111">
    <w:abstractNumId w:val="3"/>
  </w:num>
  <w:num w:numId="7" w16cid:durableId="2112311023">
    <w:abstractNumId w:val="2"/>
  </w:num>
  <w:num w:numId="8" w16cid:durableId="1008602287">
    <w:abstractNumId w:val="1"/>
  </w:num>
  <w:num w:numId="9" w16cid:durableId="390228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oNotDisplayPageBoundaries/>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5012"/>
    <w:rsid w:val="0029639D"/>
    <w:rsid w:val="00326F90"/>
    <w:rsid w:val="00693DAA"/>
    <w:rsid w:val="00820D1B"/>
    <w:rsid w:val="0094150F"/>
    <w:rsid w:val="00AA1D8D"/>
    <w:rsid w:val="00B47730"/>
    <w:rsid w:val="00C971B3"/>
    <w:rsid w:val="00CB0664"/>
    <w:rsid w:val="00D40954"/>
    <w:rsid w:val="00D614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B11016"/>
  <w14:defaultImageDpi w14:val="300"/>
  <w15:docId w15:val="{AF45B8AE-A674-4E83-B32E-F12276F28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pPr>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Laiwen Lv</cp:lastModifiedBy>
  <cp:revision>4</cp:revision>
  <dcterms:created xsi:type="dcterms:W3CDTF">2013-12-23T23:15:00Z</dcterms:created>
  <dcterms:modified xsi:type="dcterms:W3CDTF">2026-10-15T08:31:00Z</dcterms:modified>
  <cp:category/>
</cp:coreProperties>
</file>