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253" w:rsidRPr="00853362" w:rsidRDefault="004E6253" w:rsidP="004E6253">
      <w:pPr>
        <w:rPr>
          <w:rFonts w:ascii="Myriad Pro" w:hAnsi="Myriad Pro" w:cs="Helvetica"/>
        </w:rPr>
      </w:pPr>
      <w:proofErr w:type="gramStart"/>
      <w:r w:rsidRPr="00853362">
        <w:rPr>
          <w:rFonts w:ascii="Myriad Pro" w:hAnsi="Myriad Pro"/>
          <w:b/>
          <w:bCs/>
        </w:rPr>
        <w:t>A</w:t>
      </w:r>
      <w:r>
        <w:rPr>
          <w:rFonts w:ascii="Myriad Pro" w:hAnsi="Myriad Pro"/>
          <w:b/>
          <w:bCs/>
        </w:rPr>
        <w:t>dditional file</w:t>
      </w:r>
      <w:r w:rsidRPr="00853362">
        <w:rPr>
          <w:rFonts w:ascii="Myriad Pro" w:hAnsi="Myriad Pro"/>
          <w:b/>
          <w:bCs/>
        </w:rPr>
        <w:t xml:space="preserve"> 2.</w:t>
      </w:r>
      <w:proofErr w:type="gramEnd"/>
      <w:r w:rsidRPr="00853362">
        <w:rPr>
          <w:rFonts w:ascii="Myriad Pro" w:hAnsi="Myriad Pro"/>
        </w:rPr>
        <w:t xml:space="preserve"> </w:t>
      </w:r>
      <w:r w:rsidRPr="00853362">
        <w:rPr>
          <w:rFonts w:ascii="Myriad Pro" w:hAnsi="Myriad Pro" w:cs="Helvetica"/>
        </w:rPr>
        <w:t>The 6 AGREE II domains and corresponding 23 items</w:t>
      </w:r>
    </w:p>
    <w:tbl>
      <w:tblPr>
        <w:tblStyle w:val="TableGrid"/>
        <w:tblW w:w="0" w:type="auto"/>
        <w:tblLook w:val="04A0"/>
      </w:tblPr>
      <w:tblGrid>
        <w:gridCol w:w="2007"/>
        <w:gridCol w:w="6715"/>
      </w:tblGrid>
      <w:tr w:rsidR="004E6253" w:rsidTr="00E63E0A">
        <w:tc>
          <w:tcPr>
            <w:tcW w:w="2498" w:type="dxa"/>
            <w:shd w:val="clear" w:color="auto" w:fill="BFBFBF" w:themeFill="background1" w:themeFillShade="BF"/>
            <w:vAlign w:val="center"/>
          </w:tcPr>
          <w:p w:rsidR="004E6253" w:rsidRPr="00022C5C" w:rsidRDefault="004E6253" w:rsidP="00E63E0A">
            <w:pPr>
              <w:jc w:val="center"/>
              <w:rPr>
                <w:rFonts w:ascii="Myriad Pro" w:hAnsi="Myriad Pro"/>
                <w:b/>
              </w:rPr>
            </w:pPr>
            <w:r w:rsidRPr="00022C5C">
              <w:rPr>
                <w:rFonts w:ascii="Myriad Pro" w:hAnsi="Myriad Pro"/>
                <w:b/>
              </w:rPr>
              <w:t>DOMAIN</w:t>
            </w:r>
          </w:p>
        </w:tc>
        <w:tc>
          <w:tcPr>
            <w:tcW w:w="11450" w:type="dxa"/>
            <w:shd w:val="clear" w:color="auto" w:fill="BFBFBF" w:themeFill="background1" w:themeFillShade="BF"/>
          </w:tcPr>
          <w:p w:rsidR="004E6253" w:rsidRPr="00022C5C" w:rsidRDefault="004E6253" w:rsidP="00E63E0A">
            <w:pPr>
              <w:rPr>
                <w:rFonts w:ascii="Myriad Pro" w:hAnsi="Myriad Pro"/>
                <w:b/>
              </w:rPr>
            </w:pPr>
            <w:r w:rsidRPr="00022C5C">
              <w:rPr>
                <w:rFonts w:ascii="Myriad Pro" w:hAnsi="Myriad Pro"/>
                <w:b/>
              </w:rPr>
              <w:t>ITEM AND DESCRIPTION</w:t>
            </w:r>
          </w:p>
        </w:tc>
      </w:tr>
      <w:tr w:rsidR="004E6253" w:rsidTr="00E63E0A">
        <w:tc>
          <w:tcPr>
            <w:tcW w:w="2498" w:type="dxa"/>
            <w:vAlign w:val="center"/>
          </w:tcPr>
          <w:p w:rsidR="004E6253" w:rsidRDefault="004E6253" w:rsidP="00E63E0A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Scope and Purpose</w:t>
            </w:r>
          </w:p>
        </w:tc>
        <w:tc>
          <w:tcPr>
            <w:tcW w:w="11450" w:type="dxa"/>
          </w:tcPr>
          <w:p w:rsidR="004E6253" w:rsidRPr="00022C5C" w:rsidRDefault="004E6253" w:rsidP="00E63E0A">
            <w:pPr>
              <w:rPr>
                <w:rFonts w:ascii="Myriad Pro" w:hAnsi="Myriad Pro"/>
              </w:rPr>
            </w:pPr>
            <w:r w:rsidRPr="00022C5C">
              <w:rPr>
                <w:rFonts w:ascii="Myriad Pro" w:hAnsi="Myriad Pro"/>
              </w:rPr>
              <w:t xml:space="preserve">1. </w:t>
            </w:r>
            <w:r>
              <w:rPr>
                <w:rFonts w:ascii="Myriad Pro" w:hAnsi="Myriad Pro"/>
              </w:rPr>
              <w:t xml:space="preserve">   </w:t>
            </w:r>
            <w:r w:rsidRPr="00022C5C">
              <w:rPr>
                <w:rFonts w:ascii="Myriad Pro" w:hAnsi="Myriad Pro"/>
              </w:rPr>
              <w:t>The overall objective(s) of the guideline is (are) specifically described</w:t>
            </w:r>
          </w:p>
          <w:p w:rsidR="004E6253" w:rsidRPr="00022C5C" w:rsidRDefault="004E6253" w:rsidP="00E63E0A">
            <w:pPr>
              <w:rPr>
                <w:rFonts w:ascii="Myriad Pro" w:hAnsi="Myriad Pro"/>
              </w:rPr>
            </w:pPr>
            <w:r w:rsidRPr="00022C5C">
              <w:rPr>
                <w:rFonts w:ascii="Myriad Pro" w:hAnsi="Myriad Pro"/>
              </w:rPr>
              <w:t>2.</w:t>
            </w:r>
            <w:r>
              <w:rPr>
                <w:rFonts w:ascii="Myriad Pro" w:hAnsi="Myriad Pro"/>
              </w:rPr>
              <w:t xml:space="preserve">    </w:t>
            </w:r>
            <w:r w:rsidRPr="00022C5C">
              <w:rPr>
                <w:rFonts w:ascii="Myriad Pro" w:hAnsi="Myriad Pro"/>
              </w:rPr>
              <w:t>The health question(s) covered by the guideline is (are) specifically described</w:t>
            </w:r>
          </w:p>
          <w:p w:rsidR="004E6253" w:rsidRPr="00022C5C" w:rsidRDefault="004E6253" w:rsidP="00E63E0A">
            <w:pPr>
              <w:rPr>
                <w:rFonts w:ascii="Myriad Pro" w:hAnsi="Myriad Pro"/>
              </w:rPr>
            </w:pPr>
            <w:r w:rsidRPr="00022C5C">
              <w:rPr>
                <w:rFonts w:ascii="Myriad Pro" w:hAnsi="Myriad Pro"/>
              </w:rPr>
              <w:t xml:space="preserve">3. </w:t>
            </w:r>
            <w:r>
              <w:rPr>
                <w:rFonts w:ascii="Myriad Pro" w:hAnsi="Myriad Pro"/>
              </w:rPr>
              <w:t xml:space="preserve">   </w:t>
            </w:r>
            <w:r w:rsidRPr="00022C5C">
              <w:rPr>
                <w:rFonts w:ascii="Myriad Pro" w:hAnsi="Myriad Pro"/>
              </w:rPr>
              <w:t>The population (patients, public, etc.) to whom the guideline is meant to apply is specifically described</w:t>
            </w:r>
          </w:p>
        </w:tc>
      </w:tr>
      <w:tr w:rsidR="004E6253" w:rsidTr="00E63E0A">
        <w:tc>
          <w:tcPr>
            <w:tcW w:w="2498" w:type="dxa"/>
            <w:vAlign w:val="center"/>
          </w:tcPr>
          <w:p w:rsidR="004E6253" w:rsidRDefault="004E6253" w:rsidP="00E63E0A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Stakeholder Involvement</w:t>
            </w:r>
          </w:p>
        </w:tc>
        <w:tc>
          <w:tcPr>
            <w:tcW w:w="11450" w:type="dxa"/>
          </w:tcPr>
          <w:p w:rsidR="004E6253" w:rsidRPr="00022C5C" w:rsidRDefault="004E6253" w:rsidP="00E63E0A">
            <w:pPr>
              <w:rPr>
                <w:rFonts w:ascii="Myriad Pro" w:hAnsi="Myriad Pro"/>
              </w:rPr>
            </w:pPr>
            <w:r w:rsidRPr="00022C5C">
              <w:rPr>
                <w:rFonts w:ascii="Myriad Pro" w:hAnsi="Myriad Pro"/>
              </w:rPr>
              <w:t xml:space="preserve">4. </w:t>
            </w:r>
            <w:r>
              <w:rPr>
                <w:rFonts w:ascii="Myriad Pro" w:hAnsi="Myriad Pro"/>
              </w:rPr>
              <w:t xml:space="preserve">   </w:t>
            </w:r>
            <w:r w:rsidRPr="00022C5C">
              <w:rPr>
                <w:rFonts w:ascii="Myriad Pro" w:hAnsi="Myriad Pro"/>
              </w:rPr>
              <w:t>The guideline development group includes individuals from all relevant professional groups</w:t>
            </w:r>
          </w:p>
          <w:p w:rsidR="004E6253" w:rsidRPr="00022C5C" w:rsidRDefault="004E6253" w:rsidP="00E63E0A">
            <w:pPr>
              <w:rPr>
                <w:rFonts w:ascii="Myriad Pro" w:hAnsi="Myriad Pro"/>
              </w:rPr>
            </w:pPr>
            <w:r w:rsidRPr="00022C5C">
              <w:rPr>
                <w:rFonts w:ascii="Myriad Pro" w:hAnsi="Myriad Pro"/>
              </w:rPr>
              <w:t>5.</w:t>
            </w:r>
            <w:r>
              <w:rPr>
                <w:rFonts w:ascii="Myriad Pro" w:hAnsi="Myriad Pro"/>
              </w:rPr>
              <w:t xml:space="preserve">   </w:t>
            </w:r>
            <w:r w:rsidRPr="00022C5C">
              <w:rPr>
                <w:rFonts w:ascii="Myriad Pro" w:hAnsi="Myriad Pro"/>
              </w:rPr>
              <w:t xml:space="preserve"> The views and preferences of the target population (patients, public, etc.) have been sought</w:t>
            </w:r>
          </w:p>
          <w:p w:rsidR="004E6253" w:rsidRPr="00022C5C" w:rsidRDefault="004E6253" w:rsidP="00E63E0A">
            <w:pPr>
              <w:rPr>
                <w:rFonts w:ascii="Myriad Pro" w:hAnsi="Myriad Pro"/>
              </w:rPr>
            </w:pPr>
            <w:r w:rsidRPr="00022C5C">
              <w:rPr>
                <w:rFonts w:ascii="Myriad Pro" w:hAnsi="Myriad Pro"/>
              </w:rPr>
              <w:t>6.</w:t>
            </w:r>
            <w:r>
              <w:rPr>
                <w:rFonts w:ascii="Myriad Pro" w:hAnsi="Myriad Pro"/>
              </w:rPr>
              <w:t xml:space="preserve">   </w:t>
            </w:r>
            <w:r w:rsidRPr="00022C5C">
              <w:rPr>
                <w:rFonts w:ascii="Myriad Pro" w:hAnsi="Myriad Pro"/>
              </w:rPr>
              <w:t xml:space="preserve"> The target users of the guideline are clearly defined</w:t>
            </w:r>
          </w:p>
        </w:tc>
      </w:tr>
      <w:tr w:rsidR="004E6253" w:rsidTr="00E63E0A">
        <w:tc>
          <w:tcPr>
            <w:tcW w:w="2498" w:type="dxa"/>
            <w:vAlign w:val="center"/>
          </w:tcPr>
          <w:p w:rsidR="004E6253" w:rsidRDefault="004E6253" w:rsidP="00E63E0A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Rigour of Development</w:t>
            </w:r>
          </w:p>
        </w:tc>
        <w:tc>
          <w:tcPr>
            <w:tcW w:w="11450" w:type="dxa"/>
          </w:tcPr>
          <w:p w:rsidR="004E6253" w:rsidRPr="00022C5C" w:rsidRDefault="004E6253" w:rsidP="00E63E0A">
            <w:pPr>
              <w:rPr>
                <w:rFonts w:ascii="Myriad Pro" w:hAnsi="Myriad Pro"/>
              </w:rPr>
            </w:pPr>
            <w:r w:rsidRPr="00022C5C">
              <w:rPr>
                <w:rFonts w:ascii="Myriad Pro" w:hAnsi="Myriad Pro"/>
              </w:rPr>
              <w:t>7.</w:t>
            </w:r>
            <w:r>
              <w:rPr>
                <w:rFonts w:ascii="Myriad Pro" w:hAnsi="Myriad Pro"/>
              </w:rPr>
              <w:t xml:space="preserve">  </w:t>
            </w:r>
            <w:r w:rsidRPr="00022C5C">
              <w:rPr>
                <w:rFonts w:ascii="Myriad Pro" w:hAnsi="Myriad Pro"/>
              </w:rPr>
              <w:t xml:space="preserve">  Systematic methods were used to search for evidence</w:t>
            </w:r>
          </w:p>
          <w:p w:rsidR="004E6253" w:rsidRPr="00022C5C" w:rsidRDefault="004E6253" w:rsidP="00E63E0A">
            <w:pPr>
              <w:rPr>
                <w:rFonts w:ascii="Myriad Pro" w:hAnsi="Myriad Pro"/>
              </w:rPr>
            </w:pPr>
            <w:r w:rsidRPr="00022C5C">
              <w:rPr>
                <w:rFonts w:ascii="Myriad Pro" w:hAnsi="Myriad Pro"/>
              </w:rPr>
              <w:t>8.</w:t>
            </w:r>
            <w:r>
              <w:rPr>
                <w:rFonts w:ascii="Myriad Pro" w:hAnsi="Myriad Pro"/>
              </w:rPr>
              <w:t xml:space="preserve">  </w:t>
            </w:r>
            <w:r w:rsidRPr="00022C5C">
              <w:rPr>
                <w:rFonts w:ascii="Myriad Pro" w:hAnsi="Myriad Pro"/>
              </w:rPr>
              <w:t xml:space="preserve">  The criteria for selecting the evidence are clearly described</w:t>
            </w:r>
          </w:p>
          <w:p w:rsidR="004E6253" w:rsidRPr="00022C5C" w:rsidRDefault="004E6253" w:rsidP="00E63E0A">
            <w:pPr>
              <w:rPr>
                <w:rFonts w:ascii="Myriad Pro" w:hAnsi="Myriad Pro"/>
              </w:rPr>
            </w:pPr>
            <w:r w:rsidRPr="00022C5C">
              <w:rPr>
                <w:rFonts w:ascii="Myriad Pro" w:hAnsi="Myriad Pro"/>
              </w:rPr>
              <w:t xml:space="preserve">9. </w:t>
            </w:r>
            <w:r>
              <w:rPr>
                <w:rFonts w:ascii="Myriad Pro" w:hAnsi="Myriad Pro"/>
              </w:rPr>
              <w:t xml:space="preserve">  </w:t>
            </w:r>
            <w:r w:rsidRPr="00022C5C">
              <w:rPr>
                <w:rFonts w:ascii="Myriad Pro" w:hAnsi="Myriad Pro"/>
              </w:rPr>
              <w:t xml:space="preserve"> The strengths and limitations of the body of evidence are clearly described</w:t>
            </w:r>
          </w:p>
          <w:p w:rsidR="004E6253" w:rsidRPr="00022C5C" w:rsidRDefault="004E6253" w:rsidP="00E63E0A">
            <w:pPr>
              <w:rPr>
                <w:rFonts w:ascii="Myriad Pro" w:hAnsi="Myriad Pro"/>
              </w:rPr>
            </w:pPr>
            <w:r w:rsidRPr="00022C5C">
              <w:rPr>
                <w:rFonts w:ascii="Myriad Pro" w:hAnsi="Myriad Pro"/>
              </w:rPr>
              <w:t>10.  The methods for formulating the recommendations are clearly described</w:t>
            </w:r>
          </w:p>
          <w:p w:rsidR="004E6253" w:rsidRPr="00022C5C" w:rsidRDefault="004E6253" w:rsidP="00E63E0A">
            <w:pPr>
              <w:rPr>
                <w:rFonts w:ascii="Myriad Pro" w:hAnsi="Myriad Pro"/>
              </w:rPr>
            </w:pPr>
            <w:r w:rsidRPr="00022C5C">
              <w:rPr>
                <w:rFonts w:ascii="Myriad Pro" w:hAnsi="Myriad Pro"/>
              </w:rPr>
              <w:t>11.  The health benefits, side effects, and risks have been considered in formulating the recommendations</w:t>
            </w:r>
          </w:p>
          <w:p w:rsidR="004E6253" w:rsidRPr="00022C5C" w:rsidRDefault="004E6253" w:rsidP="00E63E0A">
            <w:pPr>
              <w:rPr>
                <w:rFonts w:ascii="Myriad Pro" w:hAnsi="Myriad Pro"/>
              </w:rPr>
            </w:pPr>
            <w:r w:rsidRPr="00022C5C">
              <w:rPr>
                <w:rFonts w:ascii="Myriad Pro" w:hAnsi="Myriad Pro"/>
              </w:rPr>
              <w:t>12.  There is an explicit link between the recommendations and the supporting evidence</w:t>
            </w:r>
          </w:p>
          <w:p w:rsidR="004E6253" w:rsidRPr="00022C5C" w:rsidRDefault="004E6253" w:rsidP="00E63E0A">
            <w:pPr>
              <w:rPr>
                <w:rFonts w:ascii="Myriad Pro" w:hAnsi="Myriad Pro"/>
              </w:rPr>
            </w:pPr>
            <w:r w:rsidRPr="00022C5C">
              <w:rPr>
                <w:rFonts w:ascii="Myriad Pro" w:hAnsi="Myriad Pro"/>
              </w:rPr>
              <w:t>13.  The guideline has been externally reviewed by experts prior to its publication</w:t>
            </w:r>
          </w:p>
          <w:p w:rsidR="004E6253" w:rsidRDefault="004E6253" w:rsidP="00E63E0A">
            <w:pPr>
              <w:rPr>
                <w:rFonts w:ascii="Myriad Pro" w:hAnsi="Myriad Pro"/>
              </w:rPr>
            </w:pPr>
            <w:r w:rsidRPr="00022C5C">
              <w:rPr>
                <w:rFonts w:ascii="Myriad Pro" w:hAnsi="Myriad Pro"/>
              </w:rPr>
              <w:t>14.  A procedure for updating the guideline is provided</w:t>
            </w:r>
          </w:p>
        </w:tc>
      </w:tr>
      <w:tr w:rsidR="004E6253" w:rsidTr="00E63E0A">
        <w:tc>
          <w:tcPr>
            <w:tcW w:w="2498" w:type="dxa"/>
            <w:vAlign w:val="center"/>
          </w:tcPr>
          <w:p w:rsidR="004E6253" w:rsidRDefault="004E6253" w:rsidP="00E63E0A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Clarity of Presentation</w:t>
            </w:r>
          </w:p>
        </w:tc>
        <w:tc>
          <w:tcPr>
            <w:tcW w:w="11450" w:type="dxa"/>
          </w:tcPr>
          <w:p w:rsidR="004E6253" w:rsidRPr="00A63245" w:rsidRDefault="004E6253" w:rsidP="00E63E0A">
            <w:p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15.  </w:t>
            </w:r>
            <w:r w:rsidRPr="00A63245">
              <w:rPr>
                <w:rFonts w:ascii="Myriad Pro" w:hAnsi="Myriad Pro"/>
              </w:rPr>
              <w:t>The recommendations are specific and unambiguous</w:t>
            </w:r>
          </w:p>
          <w:p w:rsidR="004E6253" w:rsidRPr="00A63245" w:rsidRDefault="004E6253" w:rsidP="00E63E0A">
            <w:p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16.  </w:t>
            </w:r>
            <w:r w:rsidRPr="00A63245">
              <w:rPr>
                <w:rFonts w:ascii="Myriad Pro" w:hAnsi="Myriad Pro"/>
              </w:rPr>
              <w:t>The different options for management of the condition or health issue are clearly presented</w:t>
            </w:r>
          </w:p>
          <w:p w:rsidR="004E6253" w:rsidRDefault="004E6253" w:rsidP="00E63E0A">
            <w:p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17.  </w:t>
            </w:r>
            <w:r w:rsidRPr="00A63245">
              <w:rPr>
                <w:rFonts w:ascii="Myriad Pro" w:hAnsi="Myriad Pro"/>
              </w:rPr>
              <w:t>Key recommendations are easily identifiable</w:t>
            </w:r>
          </w:p>
        </w:tc>
      </w:tr>
      <w:tr w:rsidR="004E6253" w:rsidTr="00E63E0A">
        <w:tc>
          <w:tcPr>
            <w:tcW w:w="2498" w:type="dxa"/>
            <w:vAlign w:val="center"/>
          </w:tcPr>
          <w:p w:rsidR="004E6253" w:rsidRDefault="004E6253" w:rsidP="00E63E0A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Applicability</w:t>
            </w:r>
          </w:p>
        </w:tc>
        <w:tc>
          <w:tcPr>
            <w:tcW w:w="11450" w:type="dxa"/>
          </w:tcPr>
          <w:p w:rsidR="004E6253" w:rsidRPr="00A63245" w:rsidRDefault="004E6253" w:rsidP="00E63E0A">
            <w:p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18.  </w:t>
            </w:r>
            <w:r w:rsidRPr="00A63245">
              <w:rPr>
                <w:rFonts w:ascii="Myriad Pro" w:hAnsi="Myriad Pro"/>
              </w:rPr>
              <w:t>The guideline describes facilitators and barriers to its application</w:t>
            </w:r>
          </w:p>
          <w:p w:rsidR="004E6253" w:rsidRPr="00A63245" w:rsidRDefault="004E6253" w:rsidP="00E63E0A">
            <w:p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19.  </w:t>
            </w:r>
            <w:r w:rsidRPr="00A63245">
              <w:rPr>
                <w:rFonts w:ascii="Myriad Pro" w:hAnsi="Myriad Pro"/>
              </w:rPr>
              <w:t>The guideline provides advice and/or tools on how the recommendations can be put into practice</w:t>
            </w:r>
          </w:p>
          <w:p w:rsidR="004E6253" w:rsidRPr="00A63245" w:rsidRDefault="004E6253" w:rsidP="00E63E0A">
            <w:p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20.  </w:t>
            </w:r>
            <w:r w:rsidRPr="00A63245">
              <w:rPr>
                <w:rFonts w:ascii="Myriad Pro" w:hAnsi="Myriad Pro"/>
              </w:rPr>
              <w:t>The potential resource implications of applying the recommendations have been considered</w:t>
            </w:r>
          </w:p>
          <w:p w:rsidR="004E6253" w:rsidRDefault="004E6253" w:rsidP="00E63E0A">
            <w:p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21.  </w:t>
            </w:r>
            <w:r w:rsidRPr="00A63245">
              <w:rPr>
                <w:rFonts w:ascii="Myriad Pro" w:hAnsi="Myriad Pro"/>
              </w:rPr>
              <w:t>The guideline presents monitoring and/or auditing criteria</w:t>
            </w:r>
          </w:p>
        </w:tc>
      </w:tr>
      <w:tr w:rsidR="004E6253" w:rsidTr="00E63E0A">
        <w:tc>
          <w:tcPr>
            <w:tcW w:w="2498" w:type="dxa"/>
            <w:vAlign w:val="center"/>
          </w:tcPr>
          <w:p w:rsidR="004E6253" w:rsidRDefault="004E6253" w:rsidP="00E63E0A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Editorial Independence</w:t>
            </w:r>
          </w:p>
        </w:tc>
        <w:tc>
          <w:tcPr>
            <w:tcW w:w="11450" w:type="dxa"/>
          </w:tcPr>
          <w:p w:rsidR="004E6253" w:rsidRPr="00A63245" w:rsidRDefault="004E6253" w:rsidP="00E63E0A">
            <w:p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22.  </w:t>
            </w:r>
            <w:r w:rsidRPr="00A63245">
              <w:rPr>
                <w:rFonts w:ascii="Myriad Pro" w:hAnsi="Myriad Pro"/>
              </w:rPr>
              <w:t>The views of the funding body have not influenced the content of the guideline</w:t>
            </w:r>
          </w:p>
          <w:p w:rsidR="004E6253" w:rsidRDefault="004E6253" w:rsidP="00E63E0A">
            <w:p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23.  </w:t>
            </w:r>
            <w:r w:rsidRPr="00A63245">
              <w:rPr>
                <w:rFonts w:ascii="Myriad Pro" w:hAnsi="Myriad Pro"/>
              </w:rPr>
              <w:t>Competing interests of guideline development group members have been recorded and addressed</w:t>
            </w:r>
          </w:p>
        </w:tc>
      </w:tr>
    </w:tbl>
    <w:p w:rsidR="004E6253" w:rsidRDefault="004E6253" w:rsidP="004E6253">
      <w:pPr>
        <w:widowControl w:val="0"/>
        <w:autoSpaceDE w:val="0"/>
        <w:autoSpaceDN w:val="0"/>
        <w:adjustRightInd w:val="0"/>
        <w:spacing w:before="120" w:line="240" w:lineRule="auto"/>
        <w:rPr>
          <w:rFonts w:ascii="Myriad Pro" w:hAnsi="Myriad Pro"/>
        </w:rPr>
      </w:pPr>
      <w:r w:rsidRPr="004E3BE9">
        <w:rPr>
          <w:rFonts w:ascii="Myriad Pro" w:hAnsi="Myriad Pro"/>
          <w:b/>
        </w:rPr>
        <w:t>From:</w:t>
      </w:r>
      <w:r>
        <w:rPr>
          <w:rFonts w:ascii="Myriad Pro" w:hAnsi="Myriad Pro"/>
        </w:rPr>
        <w:t xml:space="preserve">  </w:t>
      </w:r>
      <w:proofErr w:type="spellStart"/>
      <w:r>
        <w:rPr>
          <w:rFonts w:ascii="Myriad Pro" w:hAnsi="Myriad Pro"/>
        </w:rPr>
        <w:t>Brouwers</w:t>
      </w:r>
      <w:proofErr w:type="spellEnd"/>
      <w:r>
        <w:rPr>
          <w:rFonts w:ascii="Myriad Pro" w:hAnsi="Myriad Pro"/>
        </w:rPr>
        <w:t xml:space="preserve"> MC, </w:t>
      </w:r>
      <w:proofErr w:type="spellStart"/>
      <w:r>
        <w:rPr>
          <w:rFonts w:ascii="Myriad Pro" w:hAnsi="Myriad Pro"/>
        </w:rPr>
        <w:t>Kho</w:t>
      </w:r>
      <w:proofErr w:type="spellEnd"/>
      <w:r>
        <w:rPr>
          <w:rFonts w:ascii="Myriad Pro" w:hAnsi="Myriad Pro"/>
        </w:rPr>
        <w:t xml:space="preserve"> ME, </w:t>
      </w:r>
      <w:proofErr w:type="spellStart"/>
      <w:r>
        <w:rPr>
          <w:rFonts w:ascii="Myriad Pro" w:hAnsi="Myriad Pro"/>
        </w:rPr>
        <w:t>Browman</w:t>
      </w:r>
      <w:proofErr w:type="spellEnd"/>
      <w:r>
        <w:rPr>
          <w:rFonts w:ascii="Myriad Pro" w:hAnsi="Myriad Pro"/>
        </w:rPr>
        <w:t xml:space="preserve"> GP, Burgers JS, </w:t>
      </w:r>
      <w:proofErr w:type="spellStart"/>
      <w:r>
        <w:rPr>
          <w:rFonts w:ascii="Myriad Pro" w:hAnsi="Myriad Pro"/>
        </w:rPr>
        <w:t>Cluzeau</w:t>
      </w:r>
      <w:proofErr w:type="spellEnd"/>
      <w:r>
        <w:rPr>
          <w:rFonts w:ascii="Myriad Pro" w:hAnsi="Myriad Pro"/>
        </w:rPr>
        <w:t xml:space="preserve"> F, </w:t>
      </w:r>
      <w:proofErr w:type="spellStart"/>
      <w:r>
        <w:rPr>
          <w:rFonts w:ascii="Myriad Pro" w:hAnsi="Myriad Pro"/>
        </w:rPr>
        <w:t>Feder</w:t>
      </w:r>
      <w:proofErr w:type="spellEnd"/>
      <w:r>
        <w:rPr>
          <w:rFonts w:ascii="Myriad Pro" w:hAnsi="Myriad Pro"/>
        </w:rPr>
        <w:t xml:space="preserve"> G, </w:t>
      </w:r>
      <w:proofErr w:type="spellStart"/>
      <w:r>
        <w:rPr>
          <w:rFonts w:ascii="Myriad Pro" w:hAnsi="Myriad Pro"/>
        </w:rPr>
        <w:t>Fervers</w:t>
      </w:r>
      <w:proofErr w:type="spellEnd"/>
      <w:r>
        <w:rPr>
          <w:rFonts w:ascii="Myriad Pro" w:hAnsi="Myriad Pro"/>
        </w:rPr>
        <w:t xml:space="preserve"> B, Graham ID, </w:t>
      </w:r>
      <w:proofErr w:type="spellStart"/>
      <w:r>
        <w:rPr>
          <w:rFonts w:ascii="Myriad Pro" w:hAnsi="Myriad Pro"/>
        </w:rPr>
        <w:t>Grimshaw</w:t>
      </w:r>
      <w:proofErr w:type="spellEnd"/>
      <w:r>
        <w:rPr>
          <w:rFonts w:ascii="Myriad Pro" w:hAnsi="Myriad Pro"/>
        </w:rPr>
        <w:t xml:space="preserve"> J, Hanna SE, </w:t>
      </w:r>
      <w:proofErr w:type="spellStart"/>
      <w:r>
        <w:rPr>
          <w:rFonts w:ascii="Myriad Pro" w:hAnsi="Myriad Pro"/>
        </w:rPr>
        <w:t>Littlejohns</w:t>
      </w:r>
      <w:proofErr w:type="spellEnd"/>
      <w:r>
        <w:rPr>
          <w:rFonts w:ascii="Myriad Pro" w:hAnsi="Myriad Pro"/>
        </w:rPr>
        <w:t xml:space="preserve"> P, </w:t>
      </w:r>
      <w:proofErr w:type="spellStart"/>
      <w:r>
        <w:rPr>
          <w:rFonts w:ascii="Myriad Pro" w:hAnsi="Myriad Pro"/>
        </w:rPr>
        <w:t>Makarski</w:t>
      </w:r>
      <w:proofErr w:type="spellEnd"/>
      <w:r>
        <w:rPr>
          <w:rFonts w:ascii="Myriad Pro" w:hAnsi="Myriad Pro"/>
        </w:rPr>
        <w:t xml:space="preserve"> J, </w:t>
      </w:r>
      <w:proofErr w:type="spellStart"/>
      <w:r>
        <w:rPr>
          <w:rFonts w:ascii="Myriad Pro" w:hAnsi="Myriad Pro"/>
        </w:rPr>
        <w:t>Zitzelsberger</w:t>
      </w:r>
      <w:proofErr w:type="spellEnd"/>
      <w:r>
        <w:rPr>
          <w:rFonts w:ascii="Myriad Pro" w:hAnsi="Myriad Pro"/>
        </w:rPr>
        <w:t xml:space="preserve"> L</w:t>
      </w:r>
      <w:proofErr w:type="gramStart"/>
      <w:r>
        <w:rPr>
          <w:rFonts w:ascii="Myriad Pro" w:hAnsi="Myriad Pro"/>
        </w:rPr>
        <w:t xml:space="preserve">.  </w:t>
      </w:r>
      <w:proofErr w:type="gramEnd"/>
      <w:r>
        <w:rPr>
          <w:rFonts w:ascii="Myriad Pro" w:hAnsi="Myriad Pro"/>
        </w:rPr>
        <w:t xml:space="preserve">AGREE II: </w:t>
      </w:r>
      <w:r>
        <w:rPr>
          <w:rFonts w:ascii="Myriad Pro" w:hAnsi="Myriad Pro"/>
        </w:rPr>
        <w:lastRenderedPageBreak/>
        <w:t xml:space="preserve">advancing guideline development, reporting and evaluation in health care. </w:t>
      </w:r>
      <w:proofErr w:type="spellStart"/>
      <w:r>
        <w:rPr>
          <w:rFonts w:ascii="Myriad Pro" w:hAnsi="Myriad Pro"/>
        </w:rPr>
        <w:t>CMAJ</w:t>
      </w:r>
      <w:proofErr w:type="spellEnd"/>
      <w:r>
        <w:rPr>
          <w:rFonts w:ascii="Myriad Pro" w:hAnsi="Myriad Pro"/>
        </w:rPr>
        <w:t xml:space="preserve">: Canadian Medical Association Journal, </w:t>
      </w:r>
      <w:proofErr w:type="spellStart"/>
      <w:r>
        <w:rPr>
          <w:rFonts w:ascii="Myriad Pro" w:hAnsi="Myriad Pro"/>
        </w:rPr>
        <w:t>2010</w:t>
      </w:r>
      <w:proofErr w:type="gramStart"/>
      <w:r>
        <w:rPr>
          <w:rFonts w:ascii="Myriad Pro" w:hAnsi="Myriad Pro"/>
        </w:rPr>
        <w:t>;182:E839</w:t>
      </w:r>
      <w:proofErr w:type="gramEnd"/>
      <w:r>
        <w:rPr>
          <w:rFonts w:ascii="Myriad Pro" w:hAnsi="Myriad Pro"/>
        </w:rPr>
        <w:t>-E842</w:t>
      </w:r>
      <w:proofErr w:type="spellEnd"/>
    </w:p>
    <w:p w:rsidR="00674F89" w:rsidRDefault="00674F89"/>
    <w:sectPr w:rsidR="00674F89" w:rsidSect="004E4C55">
      <w:type w:val="nextColumn"/>
      <w:pgSz w:w="11906" w:h="16838" w:code="9"/>
      <w:pgMar w:top="1985" w:right="1701" w:bottom="1699" w:left="1699" w:header="850" w:footer="994" w:gutter="0"/>
      <w:cols w:space="720"/>
      <w:docGrid w:type="lines" w:linePitch="65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05"/>
  <w:drawingGridVerticalSpacing w:val="657"/>
  <w:displayHorizontalDrawingGridEvery w:val="0"/>
  <w:characterSpacingControl w:val="doNotCompress"/>
  <w:compat/>
  <w:rsids>
    <w:rsidRoot w:val="004E6253"/>
    <w:rsid w:val="002A653B"/>
    <w:rsid w:val="004E4C55"/>
    <w:rsid w:val="004E6253"/>
    <w:rsid w:val="00674F89"/>
    <w:rsid w:val="006A77BF"/>
    <w:rsid w:val="00751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F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6253"/>
    <w:pPr>
      <w:spacing w:after="0" w:line="240" w:lineRule="auto"/>
    </w:pPr>
    <w:rPr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2053</Characters>
  <Application>Microsoft Office Word</Application>
  <DocSecurity>0</DocSecurity>
  <Lines>114</Lines>
  <Paragraphs>100</Paragraphs>
  <ScaleCrop>false</ScaleCrop>
  <Company/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MSARDAN</dc:creator>
  <cp:lastModifiedBy>MSARDAN</cp:lastModifiedBy>
  <cp:revision>1</cp:revision>
  <dcterms:created xsi:type="dcterms:W3CDTF">2017-06-06T17:58:00Z</dcterms:created>
  <dcterms:modified xsi:type="dcterms:W3CDTF">2017-06-06T18:00:00Z</dcterms:modified>
</cp:coreProperties>
</file>