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0322" w:rsidRPr="008A7F95" w:rsidRDefault="000C0322" w:rsidP="00814802">
      <w:pPr>
        <w:spacing w:before="120"/>
        <w:ind w:left="-851" w:right="-926"/>
        <w:rPr>
          <w:rFonts w:ascii="Myriad Pro" w:hAnsi="Myriad Pro"/>
        </w:rPr>
      </w:pPr>
      <w:proofErr w:type="gramStart"/>
      <w:r w:rsidRPr="008A7F95">
        <w:rPr>
          <w:rFonts w:ascii="Myriad Pro" w:hAnsi="Myriad Pro"/>
          <w:b/>
          <w:bCs/>
        </w:rPr>
        <w:t>A</w:t>
      </w:r>
      <w:r w:rsidR="00CA6503" w:rsidRPr="008A7F95">
        <w:rPr>
          <w:rFonts w:ascii="Myriad Pro" w:hAnsi="Myriad Pro"/>
          <w:b/>
          <w:bCs/>
        </w:rPr>
        <w:t xml:space="preserve">dditional </w:t>
      </w:r>
      <w:r w:rsidR="00E72904" w:rsidRPr="008A7F95">
        <w:rPr>
          <w:rFonts w:ascii="Myriad Pro" w:hAnsi="Myriad Pro"/>
          <w:b/>
          <w:bCs/>
        </w:rPr>
        <w:t xml:space="preserve">file </w:t>
      </w:r>
      <w:r w:rsidRPr="008A7F95">
        <w:rPr>
          <w:rFonts w:ascii="Myriad Pro" w:hAnsi="Myriad Pro"/>
          <w:b/>
          <w:bCs/>
        </w:rPr>
        <w:t>4.</w:t>
      </w:r>
      <w:proofErr w:type="gramEnd"/>
      <w:r w:rsidRPr="008A7F95">
        <w:rPr>
          <w:rFonts w:ascii="Myriad Pro" w:hAnsi="Myriad Pro"/>
        </w:rPr>
        <w:t xml:space="preserve"> AGREE II domain scores (%) for all included publications</w:t>
      </w:r>
    </w:p>
    <w:tbl>
      <w:tblPr>
        <w:tblStyle w:val="TableGrid"/>
        <w:tblW w:w="15026" w:type="dxa"/>
        <w:tblInd w:w="-284" w:type="dxa"/>
        <w:tblLayout w:type="fixed"/>
        <w:tblCellMar>
          <w:top w:w="57" w:type="dxa"/>
          <w:left w:w="57" w:type="dxa"/>
          <w:bottom w:w="43" w:type="dxa"/>
          <w:right w:w="57" w:type="dxa"/>
        </w:tblCellMar>
        <w:tblLook w:val="04A0"/>
      </w:tblPr>
      <w:tblGrid>
        <w:gridCol w:w="710"/>
        <w:gridCol w:w="3260"/>
        <w:gridCol w:w="1579"/>
        <w:gridCol w:w="1579"/>
        <w:gridCol w:w="1580"/>
        <w:gridCol w:w="1579"/>
        <w:gridCol w:w="1580"/>
        <w:gridCol w:w="1579"/>
        <w:gridCol w:w="1580"/>
      </w:tblGrid>
      <w:tr w:rsidR="000C0322" w:rsidRPr="004E3BE9" w:rsidTr="008A7F95">
        <w:trPr>
          <w:cantSplit/>
          <w:trHeight w:val="365"/>
          <w:tblHeader/>
        </w:trPr>
        <w:tc>
          <w:tcPr>
            <w:tcW w:w="7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322" w:rsidRPr="004E3BE9" w:rsidRDefault="000C0322" w:rsidP="000C0322">
            <w:pPr>
              <w:rPr>
                <w:rFonts w:ascii="Minion Pro" w:hAnsi="Minion Pro"/>
                <w:b/>
                <w:bCs/>
                <w:sz w:val="18"/>
                <w:szCs w:val="18"/>
              </w:rPr>
            </w:pPr>
            <w:r w:rsidRPr="004E3BE9">
              <w:rPr>
                <w:rFonts w:ascii="Minion Pro" w:hAnsi="Minion Pro"/>
                <w:b/>
                <w:bCs/>
                <w:sz w:val="18"/>
                <w:szCs w:val="18"/>
              </w:rPr>
              <w:t>I.D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322" w:rsidRPr="004E3BE9" w:rsidRDefault="000C0322" w:rsidP="000C0322">
            <w:pP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</w:pPr>
            <w:r w:rsidRPr="004E3BE9"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  <w:t>Publication Title</w:t>
            </w:r>
          </w:p>
        </w:tc>
        <w:tc>
          <w:tcPr>
            <w:tcW w:w="15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C0322" w:rsidRDefault="000C0322" w:rsidP="000C0322">
            <w:pP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</w:pPr>
            <w: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  <w:t>Guidance Type</w:t>
            </w:r>
          </w:p>
        </w:tc>
        <w:tc>
          <w:tcPr>
            <w:tcW w:w="9477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C0322" w:rsidRDefault="000C0322" w:rsidP="000C0322">
            <w:pPr>
              <w:jc w:val="center"/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</w:pPr>
            <w: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  <w:t>AGREE II Domain (%)</w:t>
            </w:r>
          </w:p>
        </w:tc>
      </w:tr>
      <w:tr w:rsidR="000C0322" w:rsidRPr="004E3BE9" w:rsidTr="008A7F95">
        <w:trPr>
          <w:cantSplit/>
          <w:trHeight w:val="365"/>
          <w:tblHeader/>
        </w:trPr>
        <w:tc>
          <w:tcPr>
            <w:tcW w:w="71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0C0322" w:rsidRPr="004E3BE9" w:rsidRDefault="000C0322" w:rsidP="000C0322">
            <w:pPr>
              <w:rPr>
                <w:rFonts w:ascii="Minion Pro" w:hAnsi="Minion Pro"/>
                <w:b/>
                <w:bCs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0C0322" w:rsidRPr="004E3BE9" w:rsidRDefault="000C0322" w:rsidP="000C0322">
            <w:pP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</w:tcPr>
          <w:p w:rsidR="000C0322" w:rsidRDefault="000C0322" w:rsidP="000C0322">
            <w:pPr>
              <w:rPr>
                <w:rFonts w:ascii="Minion Pro" w:hAnsi="Minion Pro"/>
                <w:b/>
                <w:bCs/>
                <w:spacing w:val="10"/>
                <w:sz w:val="18"/>
                <w:szCs w:val="18"/>
              </w:rPr>
            </w:pPr>
          </w:p>
        </w:tc>
        <w:tc>
          <w:tcPr>
            <w:tcW w:w="15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Scope and Purpose</w:t>
            </w:r>
          </w:p>
        </w:tc>
        <w:tc>
          <w:tcPr>
            <w:tcW w:w="158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Stakeholder Involvement</w:t>
            </w:r>
          </w:p>
        </w:tc>
        <w:tc>
          <w:tcPr>
            <w:tcW w:w="15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Rigour of Development</w:t>
            </w:r>
          </w:p>
        </w:tc>
        <w:tc>
          <w:tcPr>
            <w:tcW w:w="158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Clarity of Presentation</w:t>
            </w:r>
          </w:p>
        </w:tc>
        <w:tc>
          <w:tcPr>
            <w:tcW w:w="1579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Applicability</w:t>
            </w:r>
          </w:p>
        </w:tc>
        <w:tc>
          <w:tcPr>
            <w:tcW w:w="1580" w:type="dxa"/>
            <w:tcBorders>
              <w:top w:val="nil"/>
              <w:left w:val="nil"/>
              <w:bottom w:val="double" w:sz="4" w:space="0" w:color="auto"/>
              <w:right w:val="nil"/>
            </w:tcBorders>
            <w:vAlign w:val="center"/>
          </w:tcPr>
          <w:p w:rsidR="000C0322" w:rsidRPr="000C0322" w:rsidRDefault="000C0322" w:rsidP="000C0322">
            <w:pPr>
              <w:jc w:val="center"/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</w:pPr>
            <w:r w:rsidRPr="000C0322">
              <w:rPr>
                <w:rFonts w:ascii="Minion Pro" w:hAnsi="Minion Pro"/>
                <w:b/>
                <w:bCs/>
                <w:i/>
                <w:iCs/>
                <w:spacing w:val="10"/>
                <w:sz w:val="18"/>
                <w:szCs w:val="18"/>
              </w:rPr>
              <w:t>Editorial Independence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USA1</w:t>
            </w:r>
          </w:p>
        </w:tc>
        <w:tc>
          <w:tcPr>
            <w:tcW w:w="326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Secondary prevention of ischemic heart disease and stroke in adults </w:t>
            </w:r>
          </w:p>
        </w:tc>
        <w:tc>
          <w:tcPr>
            <w:tcW w:w="1579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79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37</w:t>
            </w:r>
          </w:p>
        </w:tc>
        <w:tc>
          <w:tcPr>
            <w:tcW w:w="158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13</w:t>
            </w:r>
          </w:p>
        </w:tc>
        <w:tc>
          <w:tcPr>
            <w:tcW w:w="1580" w:type="dxa"/>
            <w:tcBorders>
              <w:top w:val="doub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46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ACSM's guidelines for exercise testing and prescription (9th edition). Chapter 9:  Exercise prescription for patients with cardiovascular and cerebrovascular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  <w:r>
              <w:rPr>
                <w:rFonts w:ascii="Minion Pro" w:hAnsi="Minion Pro"/>
                <w:sz w:val="18"/>
                <w:szCs w:val="18"/>
              </w:rPr>
              <w:t>*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Secondary prevention of atherosclerotic cardiovascular disease in older adults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</w:tr>
      <w:tr w:rsidR="00296187" w:rsidRPr="004E3BE9" w:rsidTr="008A7F95">
        <w:trPr>
          <w:trHeight w:val="226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Stable coronary artery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eastAsia="Times New Roman" w:hAnsi="Minion Pro" w:cs="Calibri"/>
                <w:color w:val="000000"/>
                <w:sz w:val="18"/>
                <w:szCs w:val="18"/>
                <w:lang w:eastAsia="zh-CN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83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 w:cs="Calibri"/>
                <w:color w:val="000000"/>
                <w:sz w:val="18"/>
                <w:szCs w:val="18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67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 w:cs="Calibri"/>
                <w:color w:val="000000"/>
                <w:sz w:val="18"/>
                <w:szCs w:val="18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68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 w:cs="Calibri"/>
                <w:color w:val="000000"/>
                <w:sz w:val="18"/>
                <w:szCs w:val="18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72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 w:cs="Calibri"/>
                <w:color w:val="000000"/>
                <w:sz w:val="18"/>
                <w:szCs w:val="18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 w:cs="Calibri"/>
                <w:color w:val="000000"/>
                <w:sz w:val="18"/>
                <w:szCs w:val="18"/>
              </w:rPr>
            </w:pPr>
            <w:r w:rsidRPr="00856B03">
              <w:rPr>
                <w:rFonts w:ascii="Minion Pro" w:hAnsi="Minion Pro" w:cs="Calibri"/>
                <w:color w:val="000000"/>
                <w:sz w:val="18"/>
                <w:szCs w:val="18"/>
              </w:rPr>
              <w:t>96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USA5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Guidelines for cardiac rehabilitation and secondary prevention programs, 5th edition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  <w:r>
              <w:rPr>
                <w:rFonts w:ascii="Minion Pro" w:hAnsi="Minion Pro"/>
                <w:sz w:val="18"/>
                <w:szCs w:val="18"/>
              </w:rPr>
              <w:t>*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0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USA6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Guideline for the diagnosis and management of patients with stable ischemic heart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  <w:highlight w:val="yellow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  <w:highlight w:val="yellow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USA7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AHA/ACCF secondary prevention and risk reduction therapy for patients with coronary and other atherosclerotic vascular disease: 2011 update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USA8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Diagnosis and treatment of chest pain and acute coronary syndrome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USA9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Guideline for percutaneous coronary intervention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5A0BD4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5A0BD4">
              <w:rPr>
                <w:rFonts w:ascii="Minion Pro" w:hAnsi="Minion Pro"/>
                <w:sz w:val="18"/>
                <w:szCs w:val="18"/>
              </w:rPr>
              <w:t>USA10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Guideline for the management of ST-elevation myocardial infarction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5A0BD4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296187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296187" w:rsidRPr="006A4C9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6A4C97">
              <w:rPr>
                <w:rFonts w:ascii="Minion Pro" w:hAnsi="Minion Pro"/>
                <w:sz w:val="18"/>
                <w:szCs w:val="18"/>
              </w:rPr>
              <w:t>USA11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:rsidR="00296187" w:rsidRPr="0029618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296187">
              <w:rPr>
                <w:rFonts w:ascii="Minion Pro" w:hAnsi="Minion Pro"/>
                <w:sz w:val="18"/>
                <w:szCs w:val="18"/>
              </w:rPr>
              <w:t xml:space="preserve">2007 Chronic angina focused update of the 2002 guidelines for the management of patients with chronic stable angina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nil"/>
              <w:right w:val="nil"/>
            </w:tcBorders>
            <w:vAlign w:val="center"/>
          </w:tcPr>
          <w:p w:rsidR="00296187" w:rsidRPr="00856B03" w:rsidRDefault="00296187" w:rsidP="00296187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C0322" w:rsidRPr="006A4C97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6A4C97">
              <w:rPr>
                <w:rFonts w:ascii="Minion Pro" w:hAnsi="Minion Pro"/>
                <w:sz w:val="18"/>
                <w:szCs w:val="18"/>
              </w:rPr>
              <w:lastRenderedPageBreak/>
              <w:t>USA12</w:t>
            </w:r>
          </w:p>
        </w:tc>
        <w:tc>
          <w:tcPr>
            <w:tcW w:w="3260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:rsidR="000C0322" w:rsidRPr="006A4C97" w:rsidRDefault="00296187" w:rsidP="00296187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Core components of c</w:t>
            </w:r>
            <w:r w:rsidR="000C0322" w:rsidRPr="006A4C97">
              <w:rPr>
                <w:rFonts w:ascii="Minion Pro" w:hAnsi="Minion Pro"/>
                <w:sz w:val="18"/>
                <w:szCs w:val="18"/>
              </w:rPr>
              <w:t xml:space="preserve">ardiac </w:t>
            </w:r>
            <w:r>
              <w:rPr>
                <w:rFonts w:ascii="Minion Pro" w:hAnsi="Minion Pro"/>
                <w:sz w:val="18"/>
                <w:szCs w:val="18"/>
              </w:rPr>
              <w:t>rehabilitation/secondary prevention p</w:t>
            </w:r>
            <w:r w:rsidR="000C0322" w:rsidRPr="006A4C97">
              <w:rPr>
                <w:rFonts w:ascii="Minion Pro" w:hAnsi="Minion Pro"/>
                <w:sz w:val="18"/>
                <w:szCs w:val="18"/>
              </w:rPr>
              <w:t xml:space="preserve">rograms: 2007 </w:t>
            </w:r>
            <w:r>
              <w:rPr>
                <w:rFonts w:ascii="Minion Pro" w:hAnsi="Minion Pro"/>
                <w:sz w:val="18"/>
                <w:szCs w:val="18"/>
              </w:rPr>
              <w:t>u</w:t>
            </w:r>
            <w:r w:rsidR="000C0322" w:rsidRPr="006A4C97">
              <w:rPr>
                <w:rFonts w:ascii="Minion Pro" w:hAnsi="Minion Pro"/>
                <w:sz w:val="18"/>
                <w:szCs w:val="18"/>
              </w:rPr>
              <w:t xml:space="preserve">pdate </w:t>
            </w:r>
          </w:p>
        </w:tc>
        <w:tc>
          <w:tcPr>
            <w:tcW w:w="15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47</w:t>
            </w:r>
          </w:p>
        </w:tc>
        <w:tc>
          <w:tcPr>
            <w:tcW w:w="15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  <w:tc>
          <w:tcPr>
            <w:tcW w:w="158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23</w:t>
            </w:r>
          </w:p>
        </w:tc>
        <w:tc>
          <w:tcPr>
            <w:tcW w:w="1580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79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296187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Exercise standards for testing and t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raining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B772A2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0C0322" w:rsidP="00296187">
            <w:pPr>
              <w:rPr>
                <w:rFonts w:ascii="Minion Pro" w:hAnsi="Minion Pro"/>
                <w:sz w:val="18"/>
                <w:szCs w:val="18"/>
              </w:rPr>
            </w:pPr>
            <w:r w:rsidRPr="00B772A2">
              <w:rPr>
                <w:rFonts w:ascii="Minion Pro" w:hAnsi="Minion Pro"/>
                <w:sz w:val="18"/>
                <w:szCs w:val="18"/>
              </w:rPr>
              <w:t xml:space="preserve">Exercise for </w:t>
            </w:r>
            <w:r w:rsidR="00296187">
              <w:rPr>
                <w:rFonts w:ascii="Minion Pro" w:hAnsi="Minion Pro"/>
                <w:sz w:val="18"/>
                <w:szCs w:val="18"/>
              </w:rPr>
              <w:t>p</w:t>
            </w:r>
            <w:r w:rsidRPr="00B772A2">
              <w:rPr>
                <w:rFonts w:ascii="Minion Pro" w:hAnsi="Minion Pro"/>
                <w:sz w:val="18"/>
                <w:szCs w:val="18"/>
              </w:rPr>
              <w:t xml:space="preserve">atients with </w:t>
            </w:r>
            <w:r w:rsidR="00296187">
              <w:rPr>
                <w:rFonts w:ascii="Minion Pro" w:hAnsi="Minion Pro"/>
                <w:sz w:val="18"/>
                <w:szCs w:val="18"/>
              </w:rPr>
              <w:t>coronary artery d</w:t>
            </w:r>
            <w:r w:rsidRPr="00B772A2">
              <w:rPr>
                <w:rFonts w:ascii="Minion Pro" w:hAnsi="Minion Pro"/>
                <w:sz w:val="18"/>
                <w:szCs w:val="18"/>
              </w:rPr>
              <w:t xml:space="preserve">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Default="000C0322" w:rsidP="000C0322">
            <w:pPr>
              <w:jc w:val="center"/>
            </w:pPr>
            <w:r w:rsidRPr="00CF0EEC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13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USA15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296187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Resistance exercise in individuals with and without cardiovascular disease: 2007 u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pdate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Default="000C0322" w:rsidP="000C0322">
            <w:pPr>
              <w:jc w:val="center"/>
            </w:pPr>
            <w:r w:rsidRPr="00CF0EEC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USA16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296187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Cardiac rehabilitation and secondary prevention of coronary heart d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Default="000C0322" w:rsidP="000C0322">
            <w:pPr>
              <w:jc w:val="center"/>
            </w:pPr>
            <w:r w:rsidRPr="00CF0EEC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79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USA17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Exercise and physical activity in the prevention and treatment of atherosclerotic cardiovascular d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Default="000C0322" w:rsidP="000C0322">
            <w:pPr>
              <w:jc w:val="center"/>
            </w:pPr>
            <w:r w:rsidRPr="00CF0EEC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79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USA18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3A509E" w:rsidP="003A509E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>
              <w:rPr>
                <w:rFonts w:ascii="Minion Pro" w:hAnsi="Minion Pro"/>
                <w:sz w:val="18"/>
                <w:szCs w:val="18"/>
              </w:rPr>
              <w:t>Effectiveness-based guidelines for the prevention of cardiovascular disease in w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omen—2011 </w:t>
            </w:r>
            <w:r>
              <w:rPr>
                <w:rFonts w:ascii="Minion Pro" w:hAnsi="Minion Pro"/>
                <w:sz w:val="18"/>
                <w:szCs w:val="18"/>
              </w:rPr>
              <w:t>u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pdate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B772A2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B772A2">
              <w:rPr>
                <w:rFonts w:ascii="Minion Pro" w:hAnsi="Minion Pro"/>
                <w:sz w:val="18"/>
                <w:szCs w:val="18"/>
                <w:lang w:eastAsia="ko-KR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47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47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53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>
              <w:rPr>
                <w:rFonts w:ascii="Minion Pro" w:hAnsi="Minion Pro"/>
                <w:sz w:val="18"/>
                <w:szCs w:val="18"/>
                <w:lang w:eastAsia="ko-KR"/>
              </w:rPr>
              <w:t>USA19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  <w:lang w:eastAsia="ko-KR"/>
              </w:rPr>
              <w:t>Secondary prevention after coronary artery bypass graft s</w:t>
            </w:r>
            <w:r w:rsidR="000C0322" w:rsidRPr="00B772A2">
              <w:rPr>
                <w:rFonts w:ascii="Minion Pro" w:hAnsi="Minion Pro"/>
                <w:sz w:val="18"/>
                <w:szCs w:val="18"/>
                <w:lang w:eastAsia="ko-KR"/>
              </w:rPr>
              <w:t xml:space="preserve">urgery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B772A2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814802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USA20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B772A2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2014 AHA/ACC guideline for the management of patients with non–ST-elevation acute coronary s</w:t>
            </w:r>
            <w:r w:rsidR="000C0322" w:rsidRPr="00B772A2">
              <w:rPr>
                <w:rFonts w:ascii="Minion Pro" w:hAnsi="Minion Pro"/>
                <w:sz w:val="18"/>
                <w:szCs w:val="18"/>
              </w:rPr>
              <w:t xml:space="preserve">yndromes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B772A2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B772A2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100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CAN1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Canadian guidelines for cardiac rehabilitation and cardiovascular disease prevention: Translating knowledge into action, 3rd e</w:t>
            </w:r>
            <w:r w:rsidR="000C0322" w:rsidRPr="00544B31">
              <w:rPr>
                <w:rFonts w:ascii="Minion Pro" w:hAnsi="Minion Pro"/>
                <w:sz w:val="18"/>
                <w:szCs w:val="18"/>
              </w:rPr>
              <w:t xml:space="preserve">dition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544B31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CAN2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Canadi</w:t>
            </w:r>
            <w:r w:rsidR="003A509E">
              <w:rPr>
                <w:rFonts w:ascii="Minion Pro" w:hAnsi="Minion Pro"/>
                <w:sz w:val="18"/>
                <w:szCs w:val="18"/>
              </w:rPr>
              <w:t>an Cardiovascular Society 2000 consensus conference: Women and ischemic heart d</w:t>
            </w:r>
            <w:r w:rsidRPr="00544B31">
              <w:rPr>
                <w:rFonts w:ascii="Minion Pro" w:hAnsi="Minion Pro"/>
                <w:sz w:val="18"/>
                <w:szCs w:val="18"/>
              </w:rPr>
              <w:t xml:space="preserve">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544B31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CAN3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544B31">
              <w:rPr>
                <w:rFonts w:ascii="Minion Pro" w:hAnsi="Minion Pro"/>
                <w:sz w:val="18"/>
                <w:szCs w:val="18"/>
              </w:rPr>
              <w:t>C</w:t>
            </w:r>
            <w:r w:rsidR="003A509E">
              <w:rPr>
                <w:rFonts w:ascii="Minion Pro" w:hAnsi="Minion Pro"/>
                <w:sz w:val="18"/>
                <w:szCs w:val="18"/>
              </w:rPr>
              <w:t xml:space="preserve">anadian Cardiovascular Society guidelines for the diagnosis and management of stable ischemic heart </w:t>
            </w:r>
            <w:r w:rsidR="003A509E">
              <w:rPr>
                <w:rFonts w:ascii="Minion Pro" w:hAnsi="Minion Pro"/>
                <w:sz w:val="18"/>
                <w:szCs w:val="18"/>
              </w:rPr>
              <w:lastRenderedPageBreak/>
              <w:t>d</w:t>
            </w:r>
            <w:r w:rsidRPr="00544B31">
              <w:rPr>
                <w:rFonts w:ascii="Minion Pro" w:hAnsi="Minion Pro"/>
                <w:sz w:val="18"/>
                <w:szCs w:val="18"/>
              </w:rPr>
              <w:t xml:space="preserve">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544B31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544B31">
              <w:rPr>
                <w:rFonts w:ascii="Minion Pro" w:hAnsi="Minion Pro"/>
                <w:sz w:val="18"/>
                <w:szCs w:val="18"/>
                <w:lang w:eastAsia="ko-KR"/>
              </w:rPr>
              <w:lastRenderedPageBreak/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58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42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856B03">
              <w:rPr>
                <w:rFonts w:ascii="Minion Pro" w:hAnsi="Minion Pro"/>
                <w:sz w:val="18"/>
                <w:szCs w:val="18"/>
                <w:lang w:eastAsia="ko-KR"/>
              </w:rPr>
              <w:t>44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0C0322" w:rsidP="000C0322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544B31">
              <w:rPr>
                <w:rFonts w:ascii="Minion Pro" w:hAnsi="Minion Pro"/>
                <w:sz w:val="18"/>
                <w:szCs w:val="18"/>
                <w:lang w:eastAsia="ko-KR"/>
              </w:rPr>
              <w:lastRenderedPageBreak/>
              <w:t>CAN4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544B31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  <w:lang w:eastAsia="ko-KR"/>
              </w:rPr>
              <w:t>Management of heart disease in the elderly p</w:t>
            </w:r>
            <w:r w:rsidR="000C0322" w:rsidRPr="00544B31">
              <w:rPr>
                <w:rFonts w:ascii="Minion Pro" w:hAnsi="Minion Pro"/>
                <w:sz w:val="18"/>
                <w:szCs w:val="18"/>
                <w:lang w:eastAsia="ko-KR"/>
              </w:rPr>
              <w:t xml:space="preserve">atient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544B31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71</w:t>
            </w:r>
          </w:p>
        </w:tc>
      </w:tr>
      <w:tr w:rsidR="009F2868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F2868" w:rsidRPr="00544B31" w:rsidRDefault="009F2868" w:rsidP="000C0322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>
              <w:rPr>
                <w:rFonts w:ascii="Minion Pro" w:hAnsi="Minion Pro"/>
                <w:sz w:val="18"/>
                <w:szCs w:val="18"/>
                <w:lang w:eastAsia="ko-KR"/>
              </w:rPr>
              <w:t>UK1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9F2868" w:rsidRPr="00544B31" w:rsidRDefault="009F2868" w:rsidP="000C0322">
            <w:pPr>
              <w:rPr>
                <w:rFonts w:ascii="Minion Pro" w:hAnsi="Minion Pro"/>
                <w:sz w:val="18"/>
                <w:szCs w:val="18"/>
                <w:lang w:eastAsia="ko-KR"/>
              </w:rPr>
            </w:pPr>
            <w:r w:rsidRPr="009F2868">
              <w:rPr>
                <w:rFonts w:ascii="Minion Pro" w:hAnsi="Minion Pro"/>
                <w:sz w:val="18"/>
                <w:szCs w:val="17"/>
                <w:lang w:eastAsia="ko-KR"/>
              </w:rPr>
              <w:t>Cardiovascular disease: risk assessment and reduction, including lipid modification, #181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Default="009F2868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100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92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9F2868" w:rsidRPr="00856B03" w:rsidRDefault="001B270D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75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 xml:space="preserve">MI – secondary prevention: Secondary prevention in primary and secondary care for patients following a myocardial infarction, #172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BACPR standards and core components for cardiovascular disease prevention and r</w:t>
            </w:r>
            <w:r w:rsidR="000C0322" w:rsidRPr="002C6268">
              <w:rPr>
                <w:rFonts w:ascii="Minion Pro" w:hAnsi="Minion Pro"/>
                <w:sz w:val="18"/>
                <w:szCs w:val="18"/>
              </w:rPr>
              <w:t xml:space="preserve">ehabilitation 2012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 xml:space="preserve">Management of stable angina, #126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UK5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 xml:space="preserve">Unstable angina and NSTEMI: The early management of unstable angina and non-ST-segment-elevation myocardial infarction, #94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UK6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3A509E" w:rsidP="000C0322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ACPICR Standards for physical activity and exercise in the cardiac p</w:t>
            </w:r>
            <w:r w:rsidR="000C0322" w:rsidRPr="002C6268">
              <w:rPr>
                <w:rFonts w:ascii="Minion Pro" w:hAnsi="Minion Pro"/>
                <w:sz w:val="18"/>
                <w:szCs w:val="18"/>
              </w:rPr>
              <w:t xml:space="preserve">opulation 2015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</w:t>
            </w:r>
          </w:p>
        </w:tc>
      </w:tr>
      <w:tr w:rsidR="000C0322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UK7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0C0322" w:rsidRPr="002C6268" w:rsidRDefault="000C0322" w:rsidP="000C0322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 xml:space="preserve">Management of stable angina: A national clinical guideline, #96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2C6268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0C0322" w:rsidRPr="00856B03" w:rsidRDefault="000C0322" w:rsidP="000C0322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2C6268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UK8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52324A" w:rsidRDefault="0052324A" w:rsidP="0052324A">
            <w:pPr>
              <w:rPr>
                <w:rFonts w:ascii="Minion Pro" w:hAnsi="Minion Pro"/>
                <w:sz w:val="18"/>
                <w:szCs w:val="17"/>
              </w:rPr>
            </w:pPr>
            <w:r w:rsidRPr="0052324A">
              <w:rPr>
                <w:rFonts w:ascii="Minion Pro" w:hAnsi="Minion Pro"/>
                <w:sz w:val="18"/>
                <w:szCs w:val="17"/>
              </w:rPr>
              <w:t xml:space="preserve">Joint British Societies’ consensus recommendations for the prevention of cardiovascular disease (JBS3)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2C6268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2C6268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UK9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2C6268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 xml:space="preserve">Cardiac Rehabilitation: A national clinical guideline, #57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2C6268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2C6268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>AUS1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Australian clinical guidelines for the management of acute coronary s</w:t>
            </w:r>
            <w:r w:rsidR="00791BCC" w:rsidRPr="008A7F95">
              <w:rPr>
                <w:rFonts w:ascii="Minion Pro" w:hAnsi="Minion Pro"/>
                <w:sz w:val="18"/>
                <w:szCs w:val="18"/>
              </w:rPr>
              <w:t>yndromes 2016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977F09" w:rsidRDefault="0052324A" w:rsidP="00791BCC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lastRenderedPageBreak/>
              <w:t>AUS2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 xml:space="preserve">National Heart Foundation of Australia physical activity recommendations for people with cardiovascular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977F09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>AUS3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ACRA core components of cardiovascular disease secondary prevention and cardiac r</w:t>
            </w:r>
            <w:r w:rsidR="0052324A" w:rsidRPr="00977F09">
              <w:rPr>
                <w:rFonts w:ascii="Minion Pro" w:hAnsi="Minion Pro"/>
                <w:sz w:val="18"/>
                <w:szCs w:val="18"/>
              </w:rPr>
              <w:t xml:space="preserve">ehabilitation 2014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977F09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21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>AUS4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Recommended framework for cardiac r</w:t>
            </w:r>
            <w:r w:rsidR="0052324A" w:rsidRPr="00977F09">
              <w:rPr>
                <w:rFonts w:ascii="Minion Pro" w:hAnsi="Minion Pro"/>
                <w:sz w:val="18"/>
                <w:szCs w:val="18"/>
              </w:rPr>
              <w:t xml:space="preserve">ehabilitation ’04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977F09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38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AUS5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Best practice guidelines for cardiac rehabilitation and secondary p</w:t>
            </w:r>
            <w:r w:rsidR="0052324A" w:rsidRPr="00977F09">
              <w:rPr>
                <w:rFonts w:ascii="Minion Pro" w:hAnsi="Minion Pro"/>
                <w:sz w:val="18"/>
                <w:szCs w:val="18"/>
              </w:rPr>
              <w:t xml:space="preserve">revention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7670A5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7670A5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29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AUS6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 practitioner’s guide for cardiac r</w:t>
            </w:r>
            <w:r w:rsidR="0052324A" w:rsidRPr="00977F09">
              <w:rPr>
                <w:rFonts w:ascii="Minion Pro" w:hAnsi="Minion Pro"/>
                <w:sz w:val="18"/>
                <w:szCs w:val="18"/>
              </w:rPr>
              <w:t xml:space="preserve">ehabilitation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7670A5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7670A5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13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0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AUS7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977F0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977F09">
              <w:rPr>
                <w:rFonts w:ascii="Minion Pro" w:hAnsi="Minion Pro"/>
                <w:sz w:val="18"/>
                <w:szCs w:val="18"/>
              </w:rPr>
              <w:t xml:space="preserve">Reducing risk in heart disease: An expert guide to clinical practice for secondary prevention of coronary heart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7670A5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7670A5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79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1F1F2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1F1F29">
              <w:rPr>
                <w:rFonts w:ascii="Minion Pro" w:hAnsi="Minion Pro"/>
                <w:sz w:val="18"/>
                <w:szCs w:val="18"/>
              </w:rPr>
              <w:t>NZ1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1F1F2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Evidence-based best practice guideline: cardiac r</w:t>
            </w:r>
            <w:r w:rsidR="0052324A" w:rsidRPr="001F1F29">
              <w:rPr>
                <w:rFonts w:ascii="Minion Pro" w:hAnsi="Minion Pro"/>
                <w:sz w:val="18"/>
                <w:szCs w:val="18"/>
              </w:rPr>
              <w:t xml:space="preserve">ehabilitation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1F1F29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1F1F29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79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1F1F29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1F1F29">
              <w:rPr>
                <w:rFonts w:ascii="Minion Pro" w:hAnsi="Minion Pro"/>
                <w:sz w:val="18"/>
                <w:szCs w:val="18"/>
              </w:rPr>
              <w:t>NZ2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1F1F29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Assessment and management of cardiovascular r</w:t>
            </w:r>
            <w:r w:rsidR="0052324A" w:rsidRPr="001F1F29">
              <w:rPr>
                <w:rFonts w:ascii="Minion Pro" w:hAnsi="Minion Pro"/>
                <w:sz w:val="18"/>
                <w:szCs w:val="18"/>
              </w:rPr>
              <w:t xml:space="preserve">isk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1F1F29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1F1F29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83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67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EUR1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2013 ESC guidelines on the management of stable coronary artery disease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42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71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856B03">
              <w:rPr>
                <w:rFonts w:ascii="Minion Pro" w:hAnsi="Minion Pro"/>
                <w:sz w:val="18"/>
                <w:szCs w:val="18"/>
              </w:rPr>
              <w:t>96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EUR2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ESC g</w:t>
            </w:r>
            <w:r w:rsidR="0052324A" w:rsidRPr="006E1A7E">
              <w:rPr>
                <w:rFonts w:ascii="Minion Pro" w:hAnsi="Minion Pro"/>
                <w:sz w:val="18"/>
                <w:szCs w:val="18"/>
              </w:rPr>
              <w:t xml:space="preserve">uidelines for the management of acute myocardial infarction in patients presenting with ST-segment elevation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58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56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88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EUR3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4951E0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2016 European g</w:t>
            </w:r>
            <w:r w:rsidR="0052324A" w:rsidRPr="004951E0">
              <w:rPr>
                <w:rFonts w:ascii="Minion Pro" w:hAnsi="Minion Pro"/>
                <w:sz w:val="18"/>
                <w:szCs w:val="18"/>
              </w:rPr>
              <w:t>uidelines on cardiovascular disease prevention in clinical practice version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47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76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EUR4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Secondary prevention in the clinical management of patients with cardiovascular diseases. Core components, standards and outcome measures for referral and delivery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75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96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lastRenderedPageBreak/>
              <w:t>EUR5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Secondary prevention through cardiac rehabilitation: from knowledge to implementation.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92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EUR6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Secondary prevention through cardiac rehabilitation: physical activity counselling and exercise training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28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86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46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EUR7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Secondary prevention through cardiac r</w:t>
            </w:r>
            <w:r w:rsidR="0052324A" w:rsidRPr="006E1A7E">
              <w:rPr>
                <w:rFonts w:ascii="Minion Pro" w:hAnsi="Minion Pro"/>
                <w:sz w:val="18"/>
                <w:szCs w:val="18"/>
              </w:rPr>
              <w:t xml:space="preserve">ehabilitation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44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0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EUR8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Physical activity for primary and secondary prevention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0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EUR9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Clinical practice guidelines for physical therapy in cardiac rehabilitation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94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54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81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46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29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EUR10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3A509E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2015 ESC g</w:t>
            </w:r>
            <w:r w:rsidR="0052324A" w:rsidRPr="006E1A7E">
              <w:rPr>
                <w:rFonts w:ascii="Minion Pro" w:hAnsi="Minion Pro"/>
                <w:sz w:val="18"/>
                <w:szCs w:val="18"/>
              </w:rPr>
              <w:t xml:space="preserve">uidelines for the management of acute coronary syndromes in patients presenting without persistent ST-segment elevation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36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67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96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EUR11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French Society of Cardiology guidelines for cardiac rehabilitation in adults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CGL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39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32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78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40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29</w:t>
            </w:r>
          </w:p>
        </w:tc>
      </w:tr>
      <w:tr w:rsidR="0052324A" w:rsidRPr="004E3BE9" w:rsidTr="008A7F95">
        <w:trPr>
          <w:trHeight w:val="469"/>
        </w:trPr>
        <w:tc>
          <w:tcPr>
            <w:tcW w:w="71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2324A" w:rsidRPr="006E1A7E" w:rsidRDefault="00814802" w:rsidP="0052324A">
            <w:pPr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EUR12</w:t>
            </w:r>
          </w:p>
        </w:tc>
        <w:tc>
          <w:tcPr>
            <w:tcW w:w="326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:rsidR="0052324A" w:rsidRPr="006E1A7E" w:rsidRDefault="0052324A" w:rsidP="0052324A">
            <w:pPr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 xml:space="preserve">Recommendations for resistance exercise in cardiac rehabilitation 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6E1A7E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 w:rsidRPr="006E1A7E">
              <w:rPr>
                <w:rFonts w:ascii="Minion Pro" w:hAnsi="Minion Pro"/>
                <w:sz w:val="18"/>
                <w:szCs w:val="18"/>
              </w:rPr>
              <w:t>Other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53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22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22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69</w:t>
            </w:r>
          </w:p>
        </w:tc>
        <w:tc>
          <w:tcPr>
            <w:tcW w:w="157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10</w:t>
            </w:r>
          </w:p>
        </w:tc>
        <w:tc>
          <w:tcPr>
            <w:tcW w:w="1580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2324A" w:rsidRPr="00856B03" w:rsidRDefault="0052324A" w:rsidP="0052324A">
            <w:pPr>
              <w:jc w:val="center"/>
              <w:rPr>
                <w:rFonts w:ascii="Minion Pro" w:hAnsi="Minion Pro"/>
                <w:sz w:val="18"/>
                <w:szCs w:val="18"/>
              </w:rPr>
            </w:pPr>
            <w:r>
              <w:rPr>
                <w:rFonts w:ascii="Minion Pro" w:hAnsi="Minion Pro"/>
                <w:sz w:val="18"/>
                <w:szCs w:val="18"/>
              </w:rPr>
              <w:t>8</w:t>
            </w:r>
          </w:p>
        </w:tc>
      </w:tr>
    </w:tbl>
    <w:p w:rsidR="0039137E" w:rsidRDefault="008A7F95" w:rsidP="008A7F95">
      <w:pPr>
        <w:spacing w:line="240" w:lineRule="auto"/>
        <w:ind w:left="-284"/>
        <w:rPr>
          <w:rFonts w:ascii="Helvetica" w:hAnsi="Helvetica"/>
        </w:rPr>
      </w:pPr>
      <w:r>
        <w:rPr>
          <w:rFonts w:ascii="Minion Pro" w:hAnsi="Minion Pro"/>
          <w:sz w:val="17"/>
          <w:szCs w:val="17"/>
        </w:rPr>
        <w:t xml:space="preserve">AUS, Australia; CAN, Canada; </w:t>
      </w:r>
      <w:r w:rsidRPr="004E3BE9">
        <w:rPr>
          <w:rFonts w:ascii="Minion Pro" w:hAnsi="Minion Pro"/>
          <w:sz w:val="17"/>
          <w:szCs w:val="17"/>
        </w:rPr>
        <w:t>CGL, Clinical Guideline</w:t>
      </w:r>
      <w:r>
        <w:rPr>
          <w:rFonts w:ascii="Minion Pro" w:hAnsi="Minion Pro"/>
          <w:sz w:val="17"/>
          <w:szCs w:val="17"/>
        </w:rPr>
        <w:t xml:space="preserve">; EUR, Europe; NZ, New Zealand; Other, other type of guidance document; UK, United Kingdom; </w:t>
      </w:r>
      <w:r w:rsidR="00AD2D83">
        <w:rPr>
          <w:rFonts w:ascii="Minion Pro" w:hAnsi="Minion Pro"/>
          <w:sz w:val="17"/>
          <w:szCs w:val="17"/>
        </w:rPr>
        <w:t xml:space="preserve">USA, United States of America; </w:t>
      </w:r>
      <w:r>
        <w:rPr>
          <w:rFonts w:ascii="Minion Pro" w:hAnsi="Minion Pro"/>
          <w:sz w:val="17"/>
          <w:szCs w:val="17"/>
        </w:rPr>
        <w:t>* classified as a guideline based on self-reported title but would fail to meet the IOM definition of a clinical practice guideline</w:t>
      </w:r>
    </w:p>
    <w:p w:rsidR="008A7F95" w:rsidRDefault="008A7F95">
      <w:pPr>
        <w:spacing w:line="480" w:lineRule="auto"/>
        <w:rPr>
          <w:rFonts w:ascii="Helvetica" w:hAnsi="Helvetica"/>
        </w:rPr>
      </w:pPr>
    </w:p>
    <w:sectPr w:rsidR="008A7F95" w:rsidSect="00F066CF">
      <w:pgSz w:w="16838" w:h="11906" w:orient="landscape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5000204B" w:usb2="00000000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docVars>
    <w:docVar w:name="Total_Editing_Time" w:val="32"/>
  </w:docVars>
  <w:rsids>
    <w:rsidRoot w:val="00760B30"/>
    <w:rsid w:val="00004E9D"/>
    <w:rsid w:val="000202DE"/>
    <w:rsid w:val="000250FE"/>
    <w:rsid w:val="000319E1"/>
    <w:rsid w:val="0004702D"/>
    <w:rsid w:val="00091D5D"/>
    <w:rsid w:val="000950CE"/>
    <w:rsid w:val="000B21C4"/>
    <w:rsid w:val="000C0322"/>
    <w:rsid w:val="000D688B"/>
    <w:rsid w:val="000D7465"/>
    <w:rsid w:val="00101D4C"/>
    <w:rsid w:val="00101E67"/>
    <w:rsid w:val="00175D46"/>
    <w:rsid w:val="001A051E"/>
    <w:rsid w:val="001B270D"/>
    <w:rsid w:val="001C0B79"/>
    <w:rsid w:val="001D0B30"/>
    <w:rsid w:val="001E03BC"/>
    <w:rsid w:val="001F1F29"/>
    <w:rsid w:val="001F5BBD"/>
    <w:rsid w:val="002152B9"/>
    <w:rsid w:val="00215DA3"/>
    <w:rsid w:val="00272832"/>
    <w:rsid w:val="0028115F"/>
    <w:rsid w:val="00283FBB"/>
    <w:rsid w:val="00296187"/>
    <w:rsid w:val="002B7D99"/>
    <w:rsid w:val="002C6268"/>
    <w:rsid w:val="002D53C8"/>
    <w:rsid w:val="002D75CF"/>
    <w:rsid w:val="003026FD"/>
    <w:rsid w:val="003137D8"/>
    <w:rsid w:val="003201A1"/>
    <w:rsid w:val="0034282C"/>
    <w:rsid w:val="00345C3D"/>
    <w:rsid w:val="0039137E"/>
    <w:rsid w:val="003A509E"/>
    <w:rsid w:val="003E457A"/>
    <w:rsid w:val="004806A8"/>
    <w:rsid w:val="00485360"/>
    <w:rsid w:val="004951E0"/>
    <w:rsid w:val="00497B53"/>
    <w:rsid w:val="004E3BE9"/>
    <w:rsid w:val="004F25F0"/>
    <w:rsid w:val="004F6DE0"/>
    <w:rsid w:val="00503940"/>
    <w:rsid w:val="0052324A"/>
    <w:rsid w:val="005266E4"/>
    <w:rsid w:val="00537DE3"/>
    <w:rsid w:val="00544B31"/>
    <w:rsid w:val="00573733"/>
    <w:rsid w:val="005818D1"/>
    <w:rsid w:val="005A0BD4"/>
    <w:rsid w:val="005A7EA5"/>
    <w:rsid w:val="005B2126"/>
    <w:rsid w:val="005D66D9"/>
    <w:rsid w:val="005E19A9"/>
    <w:rsid w:val="00606D5C"/>
    <w:rsid w:val="006305C0"/>
    <w:rsid w:val="006310D6"/>
    <w:rsid w:val="0063191F"/>
    <w:rsid w:val="006339F2"/>
    <w:rsid w:val="006A4C97"/>
    <w:rsid w:val="006C63BD"/>
    <w:rsid w:val="006E0315"/>
    <w:rsid w:val="006E1A7E"/>
    <w:rsid w:val="006E65AC"/>
    <w:rsid w:val="00717BE7"/>
    <w:rsid w:val="00742BAB"/>
    <w:rsid w:val="00754FB5"/>
    <w:rsid w:val="00760B30"/>
    <w:rsid w:val="007670A5"/>
    <w:rsid w:val="00767F9E"/>
    <w:rsid w:val="00791BCC"/>
    <w:rsid w:val="007A171C"/>
    <w:rsid w:val="007C5A19"/>
    <w:rsid w:val="007E5AC0"/>
    <w:rsid w:val="007F0350"/>
    <w:rsid w:val="008017BB"/>
    <w:rsid w:val="00814802"/>
    <w:rsid w:val="00827133"/>
    <w:rsid w:val="0084207D"/>
    <w:rsid w:val="00853362"/>
    <w:rsid w:val="00856B03"/>
    <w:rsid w:val="008667B6"/>
    <w:rsid w:val="008A7F95"/>
    <w:rsid w:val="008C5486"/>
    <w:rsid w:val="00904E66"/>
    <w:rsid w:val="00905F49"/>
    <w:rsid w:val="00910E00"/>
    <w:rsid w:val="00917A4E"/>
    <w:rsid w:val="00947C8E"/>
    <w:rsid w:val="00970239"/>
    <w:rsid w:val="00977F09"/>
    <w:rsid w:val="00991EA5"/>
    <w:rsid w:val="009F2868"/>
    <w:rsid w:val="009F2F9C"/>
    <w:rsid w:val="00A131A1"/>
    <w:rsid w:val="00A13A90"/>
    <w:rsid w:val="00A15593"/>
    <w:rsid w:val="00A32D3F"/>
    <w:rsid w:val="00A363E3"/>
    <w:rsid w:val="00A70E74"/>
    <w:rsid w:val="00A91AA7"/>
    <w:rsid w:val="00AC3ED5"/>
    <w:rsid w:val="00AD2D83"/>
    <w:rsid w:val="00AD486F"/>
    <w:rsid w:val="00B12385"/>
    <w:rsid w:val="00B361C5"/>
    <w:rsid w:val="00B545A6"/>
    <w:rsid w:val="00B772A2"/>
    <w:rsid w:val="00B85B2B"/>
    <w:rsid w:val="00B925B3"/>
    <w:rsid w:val="00BB16BC"/>
    <w:rsid w:val="00BE53A4"/>
    <w:rsid w:val="00C24DFA"/>
    <w:rsid w:val="00C573A0"/>
    <w:rsid w:val="00CA6503"/>
    <w:rsid w:val="00CC182C"/>
    <w:rsid w:val="00CC3EE9"/>
    <w:rsid w:val="00CD7244"/>
    <w:rsid w:val="00CE04AA"/>
    <w:rsid w:val="00CE1287"/>
    <w:rsid w:val="00CE259E"/>
    <w:rsid w:val="00CF6AB1"/>
    <w:rsid w:val="00D10FD3"/>
    <w:rsid w:val="00D22906"/>
    <w:rsid w:val="00D245E7"/>
    <w:rsid w:val="00D7193D"/>
    <w:rsid w:val="00D842D8"/>
    <w:rsid w:val="00DC1260"/>
    <w:rsid w:val="00DD63D5"/>
    <w:rsid w:val="00DE19E3"/>
    <w:rsid w:val="00E20D99"/>
    <w:rsid w:val="00E4001C"/>
    <w:rsid w:val="00E40DA2"/>
    <w:rsid w:val="00E72904"/>
    <w:rsid w:val="00E7767F"/>
    <w:rsid w:val="00EE688C"/>
    <w:rsid w:val="00F0065C"/>
    <w:rsid w:val="00F066CF"/>
    <w:rsid w:val="00F1356E"/>
    <w:rsid w:val="00F163A7"/>
    <w:rsid w:val="00F541A6"/>
    <w:rsid w:val="00F810CC"/>
    <w:rsid w:val="00F83951"/>
    <w:rsid w:val="00FE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B30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0B3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F1356E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ListParagraph">
    <w:name w:val="List Paragraph"/>
    <w:basedOn w:val="Normal"/>
    <w:uiPriority w:val="34"/>
    <w:qFormat/>
    <w:rsid w:val="00F1356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76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767F"/>
    <w:rPr>
      <w:rFonts w:ascii="Segoe UI" w:eastAsiaTheme="minorHAnsi" w:hAnsi="Segoe UI" w:cs="Segoe UI"/>
      <w:sz w:val="18"/>
      <w:szCs w:val="18"/>
      <w:lang w:eastAsia="en-US"/>
    </w:rPr>
  </w:style>
  <w:style w:type="paragraph" w:styleId="NormalWeb">
    <w:name w:val="Normal (Web)"/>
    <w:basedOn w:val="Normal"/>
    <w:uiPriority w:val="99"/>
    <w:unhideWhenUsed/>
    <w:rsid w:val="001E03B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28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60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40FEB4-B76F-4F82-9590-F645164D9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988</Words>
  <Characters>5824</Characters>
  <Application>Microsoft Office Word</Application>
  <DocSecurity>0</DocSecurity>
  <Lines>323</Lines>
  <Paragraphs>283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Bridget Abell</dc:creator>
  <cp:lastModifiedBy>MSARDAN</cp:lastModifiedBy>
  <cp:revision>3</cp:revision>
  <cp:lastPrinted>2016-06-13T00:02:00Z</cp:lastPrinted>
  <dcterms:created xsi:type="dcterms:W3CDTF">2017-06-06T18:03:00Z</dcterms:created>
  <dcterms:modified xsi:type="dcterms:W3CDTF">2017-06-06T18:03:00Z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Citation Style_1">
    <vt:lpwstr>http://www.zotero.org/styles/bmc-medicine</vt:lpwstr>
  </property>
  <property fmtid="{D5CDD505-2E9C-101B-9397-08002B2CF9AE}" pid="4" name="Mendeley Recent Style Id 0_1">
    <vt:lpwstr>http://www.zotero.org/styles/aids</vt:lpwstr>
  </property>
  <property fmtid="{D5CDD505-2E9C-101B-9397-08002B2CF9AE}" pid="5" name="Mendeley Recent Style Name 0_1">
    <vt:lpwstr>AIDS</vt:lpwstr>
  </property>
  <property fmtid="{D5CDD505-2E9C-101B-9397-08002B2CF9AE}" pid="6" name="Mendeley Recent Style Id 1_1">
    <vt:lpwstr>http://www.zotero.org/styles/apa</vt:lpwstr>
  </property>
  <property fmtid="{D5CDD505-2E9C-101B-9397-08002B2CF9AE}" pid="7" name="Mendeley Recent Style Name 1_1">
    <vt:lpwstr>American Psychological Association 6th edition</vt:lpwstr>
  </property>
  <property fmtid="{D5CDD505-2E9C-101B-9397-08002B2CF9AE}" pid="8" name="Mendeley Recent Style Id 2_1">
    <vt:lpwstr>http://www.zotero.org/styles/bmc-medicine</vt:lpwstr>
  </property>
  <property fmtid="{D5CDD505-2E9C-101B-9397-08002B2CF9AE}" pid="9" name="Mendeley Recent Style Name 2_1">
    <vt:lpwstr>BMC Medicine</vt:lpwstr>
  </property>
  <property fmtid="{D5CDD505-2E9C-101B-9397-08002B2CF9AE}" pid="10" name="Mendeley Recent Style Id 3_1">
    <vt:lpwstr>http://www.zotero.org/styles/harvard1</vt:lpwstr>
  </property>
  <property fmtid="{D5CDD505-2E9C-101B-9397-08002B2CF9AE}" pid="11" name="Mendeley Recent Style Name 3_1">
    <vt:lpwstr>Harvard Reference format 1 (author-date)</vt:lpwstr>
  </property>
  <property fmtid="{D5CDD505-2E9C-101B-9397-08002B2CF9AE}" pid="12" name="Mendeley Recent Style Id 4_1">
    <vt:lpwstr>http://www.zotero.org/styles/heart</vt:lpwstr>
  </property>
  <property fmtid="{D5CDD505-2E9C-101B-9397-08002B2CF9AE}" pid="13" name="Mendeley Recent Style Name 4_1">
    <vt:lpwstr>Heart</vt:lpwstr>
  </property>
  <property fmtid="{D5CDD505-2E9C-101B-9397-08002B2CF9AE}" pid="14" name="Mendeley Recent Style Id 5_1">
    <vt:lpwstr>http://www.zotero.org/styles/sage-vancouver</vt:lpwstr>
  </property>
  <property fmtid="{D5CDD505-2E9C-101B-9397-08002B2CF9AE}" pid="15" name="Mendeley Recent Style Name 5_1">
    <vt:lpwstr>SAGE Vancouver</vt:lpwstr>
  </property>
  <property fmtid="{D5CDD505-2E9C-101B-9397-08002B2CF9AE}" pid="16" name="Mendeley Recent Style Id 6_1">
    <vt:lpwstr>http://www.zotero.org/styles/sage-vancouver-brackets</vt:lpwstr>
  </property>
  <property fmtid="{D5CDD505-2E9C-101B-9397-08002B2CF9AE}" pid="17" name="Mendeley Recent Style Name 6_1">
    <vt:lpwstr>SAGE Vancouver (brackets)</vt:lpwstr>
  </property>
  <property fmtid="{D5CDD505-2E9C-101B-9397-08002B2CF9AE}" pid="18" name="Mendeley Recent Style Id 7_1">
    <vt:lpwstr>http://www.zotero.org/styles/springer-basic-brackets</vt:lpwstr>
  </property>
  <property fmtid="{D5CDD505-2E9C-101B-9397-08002B2CF9AE}" pid="19" name="Mendeley Recent Style Name 7_1">
    <vt:lpwstr>Springer Basic (numeric, brackets)</vt:lpwstr>
  </property>
  <property fmtid="{D5CDD505-2E9C-101B-9397-08002B2CF9AE}" pid="20" name="Mendeley Recent Style Id 8_1">
    <vt:lpwstr>http://www.zotero.org/styles/springer-vancouver</vt:lpwstr>
  </property>
  <property fmtid="{D5CDD505-2E9C-101B-9397-08002B2CF9AE}" pid="21" name="Mendeley Recent Style Name 8_1">
    <vt:lpwstr>Springer Vancouver</vt:lpwstr>
  </property>
  <property fmtid="{D5CDD505-2E9C-101B-9397-08002B2CF9AE}" pid="22" name="Mendeley Recent Style Id 9_1">
    <vt:lpwstr>http://www.zotero.org/styles/springer-vancouver-brackets</vt:lpwstr>
  </property>
  <property fmtid="{D5CDD505-2E9C-101B-9397-08002B2CF9AE}" pid="23" name="Mendeley Recent Style Name 9_1">
    <vt:lpwstr>Springer Vancouver (brackets)</vt:lpwstr>
  </property>
  <property fmtid="{D5CDD505-2E9C-101B-9397-08002B2CF9AE}" pid="24" name="Mendeley Unique User Id_1">
    <vt:lpwstr>ad812247-5a73-356b-ac6a-e0f4884611cd</vt:lpwstr>
  </property>
</Properties>
</file>