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B40" w:rsidRPr="0024527C" w:rsidRDefault="004D7CB3" w:rsidP="00D32B40">
      <w:pPr>
        <w:rPr>
          <w:b/>
          <w:sz w:val="28"/>
          <w:lang w:val="en-US"/>
        </w:rPr>
      </w:pPr>
      <w:r>
        <w:rPr>
          <w:b/>
          <w:sz w:val="28"/>
          <w:lang w:val="en-US"/>
        </w:rPr>
        <w:t>Additional file</w:t>
      </w:r>
      <w:r w:rsidR="007E5A2D">
        <w:rPr>
          <w:b/>
          <w:sz w:val="28"/>
          <w:lang w:val="en-US"/>
        </w:rPr>
        <w:t xml:space="preserve"> </w:t>
      </w:r>
      <w:r w:rsidR="00DF1323">
        <w:rPr>
          <w:b/>
          <w:sz w:val="28"/>
          <w:lang w:val="en-US"/>
        </w:rPr>
        <w:t>2</w:t>
      </w:r>
      <w:bookmarkStart w:id="0" w:name="_GoBack"/>
      <w:bookmarkEnd w:id="0"/>
      <w:r w:rsidR="00D32B40" w:rsidRPr="0024527C">
        <w:rPr>
          <w:b/>
          <w:sz w:val="28"/>
          <w:lang w:val="en-US"/>
        </w:rPr>
        <w:t>: overview of model assumptions</w:t>
      </w:r>
    </w:p>
    <w:p w:rsidR="00D32B40" w:rsidRDefault="00D32B40" w:rsidP="00D32B40">
      <w:pPr>
        <w:spacing w:line="480" w:lineRule="auto"/>
        <w:rPr>
          <w:b/>
          <w:lang w:val="en-US"/>
        </w:rPr>
      </w:pPr>
    </w:p>
    <w:p w:rsidR="00D32B40" w:rsidRDefault="00D32B40" w:rsidP="00D32B40">
      <w:pPr>
        <w:spacing w:line="480" w:lineRule="auto"/>
        <w:rPr>
          <w:b/>
          <w:lang w:val="en-US"/>
        </w:rPr>
      </w:pPr>
      <w:r>
        <w:rPr>
          <w:b/>
          <w:lang w:val="en-US"/>
        </w:rPr>
        <w:t>Assumptions related to the diagnostic work-up of the general practitioner (GP):</w:t>
      </w:r>
    </w:p>
    <w:p w:rsidR="00D32B40" w:rsidRDefault="00D32B40" w:rsidP="00D32B40">
      <w:pPr>
        <w:pStyle w:val="ListParagraph"/>
        <w:numPr>
          <w:ilvl w:val="0"/>
          <w:numId w:val="1"/>
        </w:numPr>
        <w:spacing w:line="480" w:lineRule="auto"/>
        <w:rPr>
          <w:lang w:val="en-US"/>
        </w:rPr>
      </w:pPr>
      <w:r>
        <w:rPr>
          <w:lang w:val="en-US"/>
        </w:rPr>
        <w:t>In case the GP perceives a patient to be at high risk of acute coronary syndrome (ACS), the patient is immediately referred to the hospital, without performing an electrocardiogram (ECG) or a point-of-care (POC) troponin test.</w:t>
      </w:r>
    </w:p>
    <w:p w:rsidR="00D32B40" w:rsidRDefault="00D32B40" w:rsidP="00D32B40">
      <w:pPr>
        <w:pStyle w:val="ListParagraph"/>
        <w:numPr>
          <w:ilvl w:val="0"/>
          <w:numId w:val="1"/>
        </w:numPr>
        <w:spacing w:line="480" w:lineRule="auto"/>
        <w:rPr>
          <w:lang w:val="en-US"/>
        </w:rPr>
      </w:pPr>
      <w:r>
        <w:rPr>
          <w:lang w:val="en-US"/>
        </w:rPr>
        <w:t>In case a GP has the availability of an ECG in his or her general practice, the GP is also assumed to perform an ECG in all chest pain patients presenting in their general practice, except for patients that are immediately referred to the hospital because the GP perceives a high probability of ACS in those patients.</w:t>
      </w:r>
    </w:p>
    <w:p w:rsidR="00D32B40" w:rsidRDefault="00D32B40" w:rsidP="00D32B40">
      <w:pPr>
        <w:pStyle w:val="ListParagraph"/>
        <w:numPr>
          <w:ilvl w:val="0"/>
          <w:numId w:val="1"/>
        </w:numPr>
        <w:spacing w:line="480" w:lineRule="auto"/>
        <w:rPr>
          <w:lang w:val="en-US"/>
        </w:rPr>
      </w:pPr>
      <w:r>
        <w:rPr>
          <w:lang w:val="en-US"/>
        </w:rPr>
        <w:t>In case the GP diagnoses a ST elevation myocardial infarction (STEMI) based on the ECG, the patient is immediately referred to the hospital, without performing a POC troponin test.</w:t>
      </w:r>
    </w:p>
    <w:p w:rsidR="00D32B40" w:rsidRDefault="00D32B40" w:rsidP="00D32B40">
      <w:pPr>
        <w:pStyle w:val="ListParagraph"/>
        <w:numPr>
          <w:ilvl w:val="0"/>
          <w:numId w:val="1"/>
        </w:numPr>
        <w:spacing w:line="480" w:lineRule="auto"/>
        <w:rPr>
          <w:lang w:val="en-US"/>
        </w:rPr>
      </w:pPr>
      <w:r>
        <w:rPr>
          <w:lang w:val="en-US"/>
        </w:rPr>
        <w:t>It is assumed that the POC troponin test is not used in patients presenting within four hours after symptom onset.</w:t>
      </w:r>
    </w:p>
    <w:p w:rsidR="00D32B40" w:rsidRDefault="00D32B40" w:rsidP="00D32B40">
      <w:pPr>
        <w:pStyle w:val="ListParagraph"/>
        <w:numPr>
          <w:ilvl w:val="0"/>
          <w:numId w:val="1"/>
        </w:numPr>
        <w:spacing w:line="480" w:lineRule="auto"/>
        <w:rPr>
          <w:lang w:val="en-US"/>
        </w:rPr>
      </w:pPr>
      <w:r w:rsidRPr="005B2C81">
        <w:rPr>
          <w:lang w:val="en-US"/>
        </w:rPr>
        <w:t>All patients that are referred to the hospital are assumed to be transported by ambulance.</w:t>
      </w:r>
    </w:p>
    <w:p w:rsidR="00D32B40" w:rsidRDefault="00D32B40" w:rsidP="00D32B40">
      <w:pPr>
        <w:pStyle w:val="ListParagraph"/>
        <w:numPr>
          <w:ilvl w:val="0"/>
          <w:numId w:val="1"/>
        </w:numPr>
        <w:spacing w:line="480" w:lineRule="auto"/>
        <w:rPr>
          <w:lang w:val="en-US"/>
        </w:rPr>
      </w:pPr>
      <w:r w:rsidRPr="002C6C79">
        <w:rPr>
          <w:rFonts w:cs="Arial"/>
          <w:lang w:val="en-GB"/>
        </w:rPr>
        <w:t>In case the initial decision of the GP was to refer the patien</w:t>
      </w:r>
      <w:r>
        <w:rPr>
          <w:rFonts w:cs="Arial"/>
          <w:lang w:val="en-GB"/>
        </w:rPr>
        <w:t>t, but the POC troponin level was</w:t>
      </w:r>
      <w:r w:rsidRPr="002C6C79">
        <w:rPr>
          <w:rFonts w:cs="Arial"/>
          <w:lang w:val="en-GB"/>
        </w:rPr>
        <w:t xml:space="preserve"> </w:t>
      </w:r>
      <w:r w:rsidRPr="000E7815">
        <w:rPr>
          <w:rFonts w:cs="Arial"/>
          <w:lang w:val="en-GB"/>
        </w:rPr>
        <w:t xml:space="preserve">negative, the probability that the GP would no longer refer this patient was 81%. For a positive POC troponin level in a patient that was initially not referred, this probability was found to be 83% </w:t>
      </w:r>
      <w:r w:rsidRPr="000E7815">
        <w:rPr>
          <w:rFonts w:cs="Arial"/>
          <w:lang w:val="en-GB"/>
        </w:rPr>
        <w:fldChar w:fldCharType="begin"/>
      </w:r>
      <w:r w:rsidRPr="000E7815">
        <w:rPr>
          <w:rFonts w:cs="Arial"/>
          <w:lang w:val="en-GB"/>
        </w:rPr>
        <w:instrText xml:space="preserve"> ADDIN EN.CITE &lt;EndNote&gt;&lt;Cite&gt;&lt;Author&gt;Kip&lt;/Author&gt;&lt;Year&gt;2016&lt;/Year&gt;&lt;RecNum&gt;317&lt;/RecNum&gt;&lt;DisplayText&gt;[1]&lt;/DisplayText&gt;&lt;record&gt;&lt;rec-number&gt;317&lt;/rec-number&gt;&lt;foreign-keys&gt;&lt;key app="EN" db-id="z90tvsasaxr5e9e2zaqv2tdgxrptepawftz2" timestamp="1461315507"&gt;317&lt;/key&gt;&lt;/foreign-keys&gt;&lt;ref-type name="Unpublished Work"&gt;34&lt;/ref-type&gt;&lt;contributors&gt;&lt;authors&gt;&lt;author&gt;Kip, M.M.A.&lt;/author&gt;&lt;author&gt;Noltes, A.M.&lt;/author&gt;&lt;author&gt;Koffijberg, H.&lt;/author&gt;&lt;author&gt;IJzerman, M. J.&lt;/author&gt;&lt;author&gt;Kusters, R.&lt;/author&gt;&lt;/authors&gt;&lt;/contributors&gt;&lt;titles&gt;&lt;title&gt;Point-of-care troponin testing in Dutch primary care: preferences and referral decisions stated by general practitioners&lt;/title&gt;&lt;/titles&gt;&lt;dates&gt;&lt;year&gt;2016&lt;/year&gt;&lt;/dates&gt;&lt;urls&gt;&lt;/urls&gt;&lt;/record&gt;&lt;/Cite&gt;&lt;/EndNote&gt;</w:instrText>
      </w:r>
      <w:r w:rsidRPr="000E7815">
        <w:rPr>
          <w:rFonts w:cs="Arial"/>
          <w:lang w:val="en-GB"/>
        </w:rPr>
        <w:fldChar w:fldCharType="separate"/>
      </w:r>
      <w:r w:rsidRPr="000E7815">
        <w:rPr>
          <w:rFonts w:cs="Arial"/>
          <w:noProof/>
          <w:lang w:val="en-GB"/>
        </w:rPr>
        <w:t>[</w:t>
      </w:r>
      <w:r w:rsidR="000E7815" w:rsidRPr="000E7815">
        <w:rPr>
          <w:rFonts w:cs="Arial"/>
          <w:noProof/>
          <w:lang w:val="en-GB"/>
        </w:rPr>
        <w:t xml:space="preserve">manuscript submitted, </w:t>
      </w:r>
      <w:hyperlink w:anchor="_ENREF_1" w:tooltip="Kip, 2016 #317" w:history="1">
        <w:r w:rsidRPr="000E7815">
          <w:rPr>
            <w:rFonts w:cs="Arial"/>
            <w:noProof/>
            <w:lang w:val="en-GB"/>
          </w:rPr>
          <w:t>1</w:t>
        </w:r>
      </w:hyperlink>
      <w:r w:rsidRPr="000E7815">
        <w:rPr>
          <w:rFonts w:cs="Arial"/>
          <w:noProof/>
          <w:lang w:val="en-GB"/>
        </w:rPr>
        <w:t>]</w:t>
      </w:r>
      <w:r w:rsidRPr="000E7815">
        <w:rPr>
          <w:rFonts w:cs="Arial"/>
          <w:lang w:val="en-GB"/>
        </w:rPr>
        <w:fldChar w:fldCharType="end"/>
      </w:r>
      <w:r w:rsidRPr="000E7815">
        <w:rPr>
          <w:rFonts w:cs="Arial"/>
          <w:lang w:val="en-GB"/>
        </w:rPr>
        <w:t>.</w:t>
      </w:r>
    </w:p>
    <w:p w:rsidR="00D32B40" w:rsidRPr="005B2C81" w:rsidRDefault="00D32B40" w:rsidP="00D32B40">
      <w:pPr>
        <w:pStyle w:val="ListParagraph"/>
        <w:numPr>
          <w:ilvl w:val="0"/>
          <w:numId w:val="1"/>
        </w:numPr>
        <w:spacing w:line="480" w:lineRule="auto"/>
        <w:rPr>
          <w:lang w:val="en-US"/>
        </w:rPr>
      </w:pPr>
      <w:r>
        <w:rPr>
          <w:rFonts w:cs="Arial"/>
          <w:lang w:val="en-GB"/>
        </w:rPr>
        <w:t>A</w:t>
      </w:r>
      <w:r w:rsidRPr="002C6C79">
        <w:rPr>
          <w:rFonts w:cs="Arial"/>
          <w:lang w:val="en-GB"/>
        </w:rPr>
        <w:t xml:space="preserve">s a previous study indicates that 10 minutes is considered the maximum acceptable test duration for POC </w:t>
      </w:r>
      <w:r w:rsidRPr="000E7815">
        <w:rPr>
          <w:rFonts w:cs="Arial"/>
          <w:lang w:val="en-GB"/>
        </w:rPr>
        <w:t xml:space="preserve">troponin </w:t>
      </w:r>
      <w:r w:rsidRPr="000E7815">
        <w:rPr>
          <w:rFonts w:cs="Arial"/>
          <w:lang w:val="en-GB"/>
        </w:rPr>
        <w:fldChar w:fldCharType="begin"/>
      </w:r>
      <w:r w:rsidRPr="000E7815">
        <w:rPr>
          <w:rFonts w:cs="Arial"/>
          <w:lang w:val="en-GB"/>
        </w:rPr>
        <w:instrText xml:space="preserve"> ADDIN EN.CITE &lt;EndNote&gt;&lt;Cite&gt;&lt;Author&gt;Kip&lt;/Author&gt;&lt;Year&gt;2016&lt;/Year&gt;&lt;RecNum&gt;317&lt;/RecNum&gt;&lt;DisplayText&gt;[1]&lt;/DisplayText&gt;&lt;record&gt;&lt;rec-number&gt;317&lt;/rec-number&gt;&lt;foreign-keys&gt;&lt;key app="EN" db-id="z90tvsasaxr5e9e2zaqv2tdgxrptepawftz2" timestamp="1461315507"&gt;317&lt;/key&gt;&lt;/foreign-keys&gt;&lt;ref-type name="Unpublished Work"&gt;34&lt;/ref-type&gt;&lt;contributors&gt;&lt;authors&gt;&lt;author&gt;Kip, M.M.A.&lt;/author&gt;&lt;author&gt;Noltes, A.M.&lt;/author&gt;&lt;author&gt;Koffijberg, H.&lt;/author&gt;&lt;author&gt;IJzerman, M. J.&lt;/author&gt;&lt;author&gt;Kusters, R.&lt;/author&gt;&lt;/authors&gt;&lt;/contributors&gt;&lt;titles&gt;&lt;title&gt;Point-of-care troponin testing in Dutch primary care: preferences and referral decisions stated by general practitioners&lt;/title&gt;&lt;/titles&gt;&lt;dates&gt;&lt;year&gt;2016&lt;/year&gt;&lt;/dates&gt;&lt;urls&gt;&lt;/urls&gt;&lt;/record&gt;&lt;/Cite&gt;&lt;/EndNote&gt;</w:instrText>
      </w:r>
      <w:r w:rsidRPr="000E7815">
        <w:rPr>
          <w:rFonts w:cs="Arial"/>
          <w:lang w:val="en-GB"/>
        </w:rPr>
        <w:fldChar w:fldCharType="separate"/>
      </w:r>
      <w:r w:rsidRPr="000E7815">
        <w:rPr>
          <w:rFonts w:cs="Arial"/>
          <w:noProof/>
          <w:lang w:val="en-GB"/>
        </w:rPr>
        <w:t>[</w:t>
      </w:r>
      <w:r w:rsidR="000E7815" w:rsidRPr="000E7815">
        <w:rPr>
          <w:rFonts w:cs="Arial"/>
          <w:noProof/>
          <w:lang w:val="en-GB"/>
        </w:rPr>
        <w:t xml:space="preserve">manuscript submitted, </w:t>
      </w:r>
      <w:hyperlink w:anchor="_ENREF_1" w:tooltip="Kip, 2016 #317" w:history="1">
        <w:r w:rsidRPr="000E7815">
          <w:rPr>
            <w:rFonts w:cs="Arial"/>
            <w:noProof/>
            <w:lang w:val="en-GB"/>
          </w:rPr>
          <w:t>1</w:t>
        </w:r>
      </w:hyperlink>
      <w:r w:rsidRPr="000E7815">
        <w:rPr>
          <w:rFonts w:cs="Arial"/>
          <w:noProof/>
          <w:lang w:val="en-GB"/>
        </w:rPr>
        <w:t>]</w:t>
      </w:r>
      <w:r w:rsidRPr="000E7815">
        <w:rPr>
          <w:rFonts w:cs="Arial"/>
          <w:lang w:val="en-GB"/>
        </w:rPr>
        <w:fldChar w:fldCharType="end"/>
      </w:r>
      <w:r w:rsidRPr="000E7815">
        <w:rPr>
          <w:rFonts w:cs="Arial"/>
          <w:lang w:val="en-GB"/>
        </w:rPr>
        <w:t>,</w:t>
      </w:r>
      <w:r w:rsidRPr="002C6C79">
        <w:rPr>
          <w:rFonts w:cs="Arial"/>
          <w:lang w:val="en-GB"/>
        </w:rPr>
        <w:t xml:space="preserve"> and because literature has shown that </w:t>
      </w:r>
      <w:r>
        <w:rPr>
          <w:rFonts w:cs="Arial"/>
          <w:lang w:val="en-GB"/>
        </w:rPr>
        <w:t>POC troponin tests who meet this requirement</w:t>
      </w:r>
      <w:r w:rsidRPr="002C6C79">
        <w:rPr>
          <w:rFonts w:cs="Arial"/>
          <w:lang w:val="en-GB"/>
        </w:rPr>
        <w:t xml:space="preserve"> are </w:t>
      </w:r>
      <w:r>
        <w:rPr>
          <w:rFonts w:cs="Arial"/>
          <w:lang w:val="en-GB"/>
        </w:rPr>
        <w:t xml:space="preserve">currently </w:t>
      </w:r>
      <w:r w:rsidRPr="002C6C79">
        <w:rPr>
          <w:rFonts w:cs="Arial"/>
          <w:lang w:val="en-GB"/>
        </w:rPr>
        <w:t xml:space="preserve">available </w:t>
      </w:r>
      <w:r w:rsidRPr="002C6C79">
        <w:rPr>
          <w:rFonts w:cs="Arial"/>
          <w:lang w:val="en-GB"/>
        </w:rPr>
        <w:fldChar w:fldCharType="begin"/>
      </w:r>
      <w:r>
        <w:rPr>
          <w:rFonts w:cs="Arial"/>
          <w:lang w:val="en-GB"/>
        </w:rPr>
        <w:instrText xml:space="preserve"> ADDIN EN.CITE &lt;EndNote&gt;&lt;Cite&gt;&lt;Author&gt;Yang&lt;/Author&gt;&lt;Year&gt;2006&lt;/Year&gt;&lt;RecNum&gt;421&lt;/RecNum&gt;&lt;DisplayText&gt;[2]&lt;/DisplayText&gt;&lt;record&gt;&lt;rec-number&gt;421&lt;/rec-number&gt;&lt;foreign-keys&gt;&lt;key app="EN" db-id="dtsz2w2dpexat5exrzjvzddixav9ffp22wpp"&gt;421&lt;/key&gt;&lt;/foreign-keys&gt;&lt;ref-type name="Journal Article"&gt;17&lt;/ref-type&gt;&lt;contributors&gt;&lt;authors&gt;&lt;author&gt;Yang, Z.&lt;/author&gt;&lt;author&gt;Min Zhou, D.&lt;/author&gt;&lt;/authors&gt;&lt;/contributors&gt;&lt;auth-address&gt;College of Life Sciences, Shenzhen University, Shenzhen 518060, China. zyang@szu.edu.cn&lt;/auth-address&gt;&lt;titles&gt;&lt;title&gt;Cardiac markers and their point-of-care testing for diagnosis of acute myocardial infarction&lt;/title&gt;&lt;secondary-title&gt;Clin Biochem&lt;/secondary-title&gt;&lt;alt-title&gt;Clinical biochemistry&lt;/alt-title&gt;&lt;/titles&gt;&lt;periodical&gt;&lt;full-title&gt;Clin Biochem&lt;/full-title&gt;&lt;abbr-1&gt;Clinical biochemistry&lt;/abbr-1&gt;&lt;/periodical&gt;&lt;alt-periodical&gt;&lt;full-title&gt;Clin Biochem&lt;/full-title&gt;&lt;abbr-1&gt;Clinical biochemistry&lt;/abbr-1&gt;&lt;/alt-periodical&gt;&lt;pages&gt;771-80&lt;/pages&gt;&lt;volume&gt;39&lt;/volume&gt;&lt;number&gt;8&lt;/number&gt;&lt;keywords&gt;&lt;keyword&gt;Biological Markers/*blood&lt;/keyword&gt;&lt;keyword&gt;Humans&lt;/keyword&gt;&lt;keyword&gt;Myocardial Infarction/*diagnosis/etiology&lt;/keyword&gt;&lt;keyword&gt;*Point-of-Care Systems&lt;/keyword&gt;&lt;/keywords&gt;&lt;dates&gt;&lt;year&gt;2006&lt;/year&gt;&lt;pub-dates&gt;&lt;date&gt;Aug&lt;/date&gt;&lt;/pub-dates&gt;&lt;/dates&gt;&lt;isbn&gt;0009-9120 (Print)&amp;#xD;0009-9120 (Linking)&lt;/isbn&gt;&lt;accession-num&gt;16836992&lt;/accession-num&gt;&lt;urls&gt;&lt;related-urls&gt;&lt;url&gt;http://www.ncbi.nlm.nih.gov/pubmed/16836992&lt;/url&gt;&lt;/related-urls&gt;&lt;/urls&gt;&lt;electronic-resource-num&gt;10.1016/j.clinbiochem.2006.05.011&lt;/electronic-resource-num&gt;&lt;/record&gt;&lt;/Cite&gt;&lt;/EndNote&gt;</w:instrText>
      </w:r>
      <w:r w:rsidRPr="002C6C79">
        <w:rPr>
          <w:rFonts w:cs="Arial"/>
          <w:lang w:val="en-GB"/>
        </w:rPr>
        <w:fldChar w:fldCharType="separate"/>
      </w:r>
      <w:r>
        <w:rPr>
          <w:rFonts w:cs="Arial"/>
          <w:noProof/>
          <w:lang w:val="en-GB"/>
        </w:rPr>
        <w:t>[</w:t>
      </w:r>
      <w:hyperlink w:anchor="_ENREF_2" w:tooltip="Yang, 2006 #421" w:history="1">
        <w:r>
          <w:rPr>
            <w:rFonts w:cs="Arial"/>
            <w:noProof/>
            <w:lang w:val="en-GB"/>
          </w:rPr>
          <w:t>2</w:t>
        </w:r>
      </w:hyperlink>
      <w:r>
        <w:rPr>
          <w:rFonts w:cs="Arial"/>
          <w:noProof/>
          <w:lang w:val="en-GB"/>
        </w:rPr>
        <w:t>]</w:t>
      </w:r>
      <w:r w:rsidRPr="002C6C79">
        <w:rPr>
          <w:rFonts w:cs="Arial"/>
          <w:lang w:val="en-GB"/>
        </w:rPr>
        <w:fldChar w:fldCharType="end"/>
      </w:r>
      <w:r w:rsidRPr="002C6C79">
        <w:rPr>
          <w:rFonts w:cs="Arial"/>
          <w:lang w:val="en-GB"/>
        </w:rPr>
        <w:t xml:space="preserve"> it was assumed that the POC troponin test takes 10 minutes to perform.</w:t>
      </w:r>
    </w:p>
    <w:p w:rsidR="00D32B40" w:rsidRPr="005B2C81" w:rsidRDefault="00D32B40" w:rsidP="00D32B40">
      <w:pPr>
        <w:pStyle w:val="ListParagraph"/>
        <w:numPr>
          <w:ilvl w:val="0"/>
          <w:numId w:val="1"/>
        </w:numPr>
        <w:spacing w:line="480" w:lineRule="auto"/>
        <w:rPr>
          <w:lang w:val="en-US"/>
        </w:rPr>
      </w:pPr>
      <w:r w:rsidRPr="005B2C81">
        <w:rPr>
          <w:lang w:val="en-US"/>
        </w:rPr>
        <w:t>The costs of performing a POC troponin test by the GP are assumed to be €15.</w:t>
      </w:r>
    </w:p>
    <w:p w:rsidR="00D32B40" w:rsidRPr="0024527C" w:rsidRDefault="00D32B40" w:rsidP="00D32B40">
      <w:pPr>
        <w:spacing w:line="480" w:lineRule="auto"/>
        <w:rPr>
          <w:b/>
          <w:lang w:val="en-US"/>
        </w:rPr>
      </w:pPr>
      <w:r w:rsidRPr="0024527C">
        <w:rPr>
          <w:b/>
          <w:lang w:val="en-US"/>
        </w:rPr>
        <w:lastRenderedPageBreak/>
        <w:t xml:space="preserve">Assumptions related to </w:t>
      </w:r>
      <w:r>
        <w:rPr>
          <w:b/>
          <w:lang w:val="en-US"/>
        </w:rPr>
        <w:t>treatment as well as treatment outcomes:</w:t>
      </w:r>
    </w:p>
    <w:p w:rsidR="00D32B40" w:rsidRDefault="00D32B40" w:rsidP="00D32B40">
      <w:pPr>
        <w:pStyle w:val="ListParagraph"/>
        <w:numPr>
          <w:ilvl w:val="0"/>
          <w:numId w:val="1"/>
        </w:numPr>
        <w:spacing w:line="480" w:lineRule="auto"/>
        <w:rPr>
          <w:lang w:val="en-US"/>
        </w:rPr>
      </w:pPr>
      <w:r>
        <w:rPr>
          <w:lang w:val="en-US"/>
        </w:rPr>
        <w:t xml:space="preserve">In case an ACS patient is not immediately referred to the hospital, it is assumed that the patient will present to the hospital at a later point in time. However, this leads to a delay in treatment, and consequently to an increased risk of mortality and developing heart failure. </w:t>
      </w:r>
    </w:p>
    <w:p w:rsidR="00D32B40" w:rsidRDefault="00D32B40" w:rsidP="00D32B40">
      <w:pPr>
        <w:pStyle w:val="ListParagraph"/>
        <w:numPr>
          <w:ilvl w:val="0"/>
          <w:numId w:val="1"/>
        </w:numPr>
        <w:spacing w:line="480" w:lineRule="auto"/>
        <w:rPr>
          <w:lang w:val="en-US"/>
        </w:rPr>
      </w:pPr>
      <w:r w:rsidRPr="00D40EB3">
        <w:rPr>
          <w:lang w:val="en-US"/>
        </w:rPr>
        <w:t>A higher mortality rate</w:t>
      </w:r>
      <w:r>
        <w:rPr>
          <w:lang w:val="en-US"/>
        </w:rPr>
        <w:t xml:space="preserve"> </w:t>
      </w:r>
      <w:r w:rsidRPr="00D40EB3">
        <w:rPr>
          <w:lang w:val="en-US"/>
        </w:rPr>
        <w:t xml:space="preserve">per </w:t>
      </w:r>
      <w:r>
        <w:rPr>
          <w:lang w:val="en-US"/>
        </w:rPr>
        <w:t>10</w:t>
      </w:r>
      <w:r w:rsidRPr="00D40EB3">
        <w:rPr>
          <w:lang w:val="en-US"/>
        </w:rPr>
        <w:t xml:space="preserve"> minutes treatment delay </w:t>
      </w:r>
      <w:r>
        <w:rPr>
          <w:lang w:val="en-US"/>
        </w:rPr>
        <w:t>has been reported for</w:t>
      </w:r>
      <w:r w:rsidRPr="00D40EB3">
        <w:rPr>
          <w:lang w:val="en-US"/>
        </w:rPr>
        <w:t xml:space="preserve"> STEMI patients, indicating a slightly higher mortality rate attributable to the time delay caused by POC troponin testing. It is conservatively assumed that this time delay is also applicable to</w:t>
      </w:r>
      <w:r>
        <w:rPr>
          <w:lang w:val="en-US"/>
        </w:rPr>
        <w:t xml:space="preserve"> non-ST elevation myocardial infarction</w:t>
      </w:r>
      <w:r w:rsidRPr="00D40EB3">
        <w:rPr>
          <w:lang w:val="en-US"/>
        </w:rPr>
        <w:t xml:space="preserve"> </w:t>
      </w:r>
      <w:r>
        <w:rPr>
          <w:lang w:val="en-US"/>
        </w:rPr>
        <w:t>(</w:t>
      </w:r>
      <w:r w:rsidRPr="00D40EB3">
        <w:rPr>
          <w:lang w:val="en-US"/>
        </w:rPr>
        <w:t>NSTEMI</w:t>
      </w:r>
      <w:r>
        <w:rPr>
          <w:lang w:val="en-US"/>
        </w:rPr>
        <w:t>)</w:t>
      </w:r>
      <w:r w:rsidRPr="00D40EB3">
        <w:rPr>
          <w:lang w:val="en-US"/>
        </w:rPr>
        <w:t xml:space="preserve"> patients</w:t>
      </w:r>
      <w:r>
        <w:rPr>
          <w:lang w:val="en-US"/>
        </w:rPr>
        <w:t xml:space="preserve"> </w:t>
      </w:r>
      <w:r>
        <w:rPr>
          <w:lang w:val="en-US"/>
        </w:rPr>
        <w:fldChar w:fldCharType="begin">
          <w:fldData xml:space="preserve">PEVuZE5vdGU+PENpdGU+PEF1dGhvcj5OYWxsYW1vdGh1PC9BdXRob3I+PFllYXI+MjAwNzwvWWVh
cj48UmVjTnVtPjMxMDwvUmVjTnVtPjxEaXNwbGF5VGV4dD5bM108L0Rpc3BsYXlUZXh0PjxyZWNv
cmQ+PHJlYy1udW1iZXI+MzEwPC9yZWMtbnVtYmVyPjxmb3JlaWduLWtleXM+PGtleSBhcHA9IkVO
IiBkYi1pZD0iZHRzejJ3MmRwZXhhdDVleHJ6anZ6ZGRpeGF2OWZmcDIyd3BwIj4zMTA8L2tleT48
L2ZvcmVpZ24ta2V5cz48cmVmLXR5cGUgbmFtZT0iSm91cm5hbCBBcnRpY2xlIj4xNzwvcmVmLXR5
cGU+PGNvbnRyaWJ1dG9ycz48YXV0aG9ycz48YXV0aG9yPk5hbGxhbW90aHUsIEIuPC9hdXRob3I+
PGF1dGhvcj5Gb3gsIEsuIEEuPC9hdXRob3I+PGF1dGhvcj5LZW5uZWxseSwgQi4gTS48L2F1dGhv
cj48YXV0aG9yPlZhbiBkZSBXZXJmLCBGLjwvYXV0aG9yPjxhdXRob3I+R29yZSwgSi4gTS48L2F1
dGhvcj48YXV0aG9yPlN0ZWcsIFAuIEcuPC9hdXRob3I+PGF1dGhvcj5HcmFuZ2VyLCBDLiBCLjwv
YXV0aG9yPjxhdXRob3I+RGFiYm91cywgTy4gSC48L2F1dGhvcj48YXV0aG9yPktsaW5lLVJvZ2Vy
cywgRS48L2F1dGhvcj48YXV0aG9yPkVhZ2xlLCBLLiBBLjwvYXV0aG9yPjxhdXRob3I+R3JhY2Ug
SW52ZXN0aWdhdG9yczwvYXV0aG9yPjwvYXV0aG9ycz48L2NvbnRyaWJ1dG9ycz48YXV0aC1hZGRy
ZXNzPlZBIEhlYWx0aCBTZXJ2aWNlcyBSZXNlYXJjaCAmYW1wOyBEZXZlbG9wbWVudCBDZW50ZXIg
b2YgRXhjZWxsZW5jZSwgQW5uIEFyYm9yIFZBIE1lZGljYWwgQ2VudGVyLCBBbm4gQXJib3IsIFVT
QS48L2F1dGgtYWRkcmVzcz48dGl0bGVzPjx0aXRsZT5SZWxhdGlvbnNoaXAgb2YgdHJlYXRtZW50
IGRlbGF5cyBhbmQgbW9ydGFsaXR5IGluIHBhdGllbnRzIHVuZGVyZ29pbmcgZmlicmlub2x5c2lz
IGFuZCBwcmltYXJ5IHBlcmN1dGFuZW91cyBjb3JvbmFyeSBpbnRlcnZlbnRpb24uIFRoZSBHbG9i
YWwgUmVnaXN0cnkgb2YgQWN1dGUgQ29yb25hcnkgRXZlbnRzPC90aXRsZT48c2Vjb25kYXJ5LXRp
dGxlPkhlYXJ0PC9zZWNvbmRhcnktdGl0bGU+PGFsdC10aXRsZT5IZWFydDwvYWx0LXRpdGxlPjwv
dGl0bGVzPjxwZXJpb2RpY2FsPjxmdWxsLXRpdGxlPkhlYXJ0PC9mdWxsLXRpdGxlPjxhYmJyLTE+
SGVhcnQ8L2FiYnItMT48L3BlcmlvZGljYWw+PGFsdC1wZXJpb2RpY2FsPjxmdWxsLXRpdGxlPkhl
YXJ0PC9mdWxsLXRpdGxlPjxhYmJyLTE+SGVhcnQ8L2FiYnItMT48L2FsdC1wZXJpb2RpY2FsPjxw
YWdlcz4xNTUyLTU8L3BhZ2VzPjx2b2x1bWU+OTM8L3ZvbHVtZT48bnVtYmVyPjEyPC9udW1iZXI+
PGtleXdvcmRzPjxrZXl3b3JkPkFuZ2lvcGxhc3R5LCBCYWxsb29uLCBDb3JvbmFyeS8qbW9ydGFs
aXR5PC9rZXl3b3JkPjxrZXl3b3JkPkNvaG9ydCBTdHVkaWVzPC9rZXl3b3JkPjxrZXl3b3JkPkNv
bWJpbmVkIE1vZGFsaXR5IFRoZXJhcHk8L2tleXdvcmQ+PGtleXdvcmQ+RmVtYWxlPC9rZXl3b3Jk
PjxrZXl3b3JkPkh1bWFuczwva2V5d29yZD48a2V5d29yZD5NYWxlPC9rZXl3b3JkPjxrZXl3b3Jk
Pk1pZGRsZSBBZ2VkPC9rZXl3b3JkPjxrZXl3b3JkPk15b2NhcmRpYWwgSW5mYXJjdGlvbi9tb3J0
YWxpdHkvKnRoZXJhcHk8L2tleXdvcmQ+PGtleXdvcmQ+UHJvc3BlY3RpdmUgU3R1ZGllczwva2V5
d29yZD48a2V5d29yZD5SZWdyZXNzaW9uIEFuYWx5c2lzPC9rZXl3b3JkPjxrZXl3b3JkPlRocm9t
Ym9seXRpYyBUaGVyYXB5LyptZXRob2RzPC9rZXl3b3JkPjxrZXl3b3JkPlRpbWUgRmFjdG9yczwv
a2V5d29yZD48a2V5d29yZD5UcmVhdG1lbnQgT3V0Y29tZTwva2V5d29yZD48L2tleXdvcmRzPjxk
YXRlcz48eWVhcj4yMDA3PC95ZWFyPjxwdWItZGF0ZXM+PGRhdGU+RGVjPC9kYXRlPjwvcHViLWRh
dGVzPjwvZGF0ZXM+PGlzYm4+MTQ2OC0yMDFYIChFbGVjdHJvbmljKSYjeEQ7MTM1NS02MDM3IChM
aW5raW5nKTwvaXNibj48YWNjZXNzaW9uLW51bT4xNzU5MTY0MzwvYWNjZXNzaW9uLW51bT48dXJs
cz48cmVsYXRlZC11cmxzPjx1cmw+aHR0cDovL3d3dy5uY2JpLm5sbS5uaWguZ292L3B1Ym1lZC8x
NzU5MTY0MzwvdXJsPjwvcmVsYXRlZC11cmxzPjwvdXJscz48Y3VzdG9tMj4yMDk1NzUyPC9jdXN0
b20yPjxlbGVjdHJvbmljLXJlc291cmNlLW51bT4xMC4xMTM2L2hydC4yMDA2LjExMjg0NzwvZWxl
Y3Ryb25pYy1yZXNvdXJjZS1udW0+PC9yZWNvcmQ+PC9DaXRlPjwvRW5kTm90ZT4A
</w:fldData>
        </w:fldChar>
      </w:r>
      <w:r>
        <w:rPr>
          <w:lang w:val="en-US"/>
        </w:rPr>
        <w:instrText xml:space="preserve"> ADDIN EN.CITE </w:instrText>
      </w:r>
      <w:r>
        <w:rPr>
          <w:lang w:val="en-US"/>
        </w:rPr>
        <w:fldChar w:fldCharType="begin">
          <w:fldData xml:space="preserve">PEVuZE5vdGU+PENpdGU+PEF1dGhvcj5OYWxsYW1vdGh1PC9BdXRob3I+PFllYXI+MjAwNzwvWWVh
cj48UmVjTnVtPjMxMDwvUmVjTnVtPjxEaXNwbGF5VGV4dD5bM108L0Rpc3BsYXlUZXh0PjxyZWNv
cmQ+PHJlYy1udW1iZXI+MzEwPC9yZWMtbnVtYmVyPjxmb3JlaWduLWtleXM+PGtleSBhcHA9IkVO
IiBkYi1pZD0iZHRzejJ3MmRwZXhhdDVleHJ6anZ6ZGRpeGF2OWZmcDIyd3BwIj4zMTA8L2tleT48
L2ZvcmVpZ24ta2V5cz48cmVmLXR5cGUgbmFtZT0iSm91cm5hbCBBcnRpY2xlIj4xNzwvcmVmLXR5
cGU+PGNvbnRyaWJ1dG9ycz48YXV0aG9ycz48YXV0aG9yPk5hbGxhbW90aHUsIEIuPC9hdXRob3I+
PGF1dGhvcj5Gb3gsIEsuIEEuPC9hdXRob3I+PGF1dGhvcj5LZW5uZWxseSwgQi4gTS48L2F1dGhv
cj48YXV0aG9yPlZhbiBkZSBXZXJmLCBGLjwvYXV0aG9yPjxhdXRob3I+R29yZSwgSi4gTS48L2F1
dGhvcj48YXV0aG9yPlN0ZWcsIFAuIEcuPC9hdXRob3I+PGF1dGhvcj5HcmFuZ2VyLCBDLiBCLjwv
YXV0aG9yPjxhdXRob3I+RGFiYm91cywgTy4gSC48L2F1dGhvcj48YXV0aG9yPktsaW5lLVJvZ2Vy
cywgRS48L2F1dGhvcj48YXV0aG9yPkVhZ2xlLCBLLiBBLjwvYXV0aG9yPjxhdXRob3I+R3JhY2Ug
SW52ZXN0aWdhdG9yczwvYXV0aG9yPjwvYXV0aG9ycz48L2NvbnRyaWJ1dG9ycz48YXV0aC1hZGRy
ZXNzPlZBIEhlYWx0aCBTZXJ2aWNlcyBSZXNlYXJjaCAmYW1wOyBEZXZlbG9wbWVudCBDZW50ZXIg
b2YgRXhjZWxsZW5jZSwgQW5uIEFyYm9yIFZBIE1lZGljYWwgQ2VudGVyLCBBbm4gQXJib3IsIFVT
QS48L2F1dGgtYWRkcmVzcz48dGl0bGVzPjx0aXRsZT5SZWxhdGlvbnNoaXAgb2YgdHJlYXRtZW50
IGRlbGF5cyBhbmQgbW9ydGFsaXR5IGluIHBhdGllbnRzIHVuZGVyZ29pbmcgZmlicmlub2x5c2lz
IGFuZCBwcmltYXJ5IHBlcmN1dGFuZW91cyBjb3JvbmFyeSBpbnRlcnZlbnRpb24uIFRoZSBHbG9i
YWwgUmVnaXN0cnkgb2YgQWN1dGUgQ29yb25hcnkgRXZlbnRzPC90aXRsZT48c2Vjb25kYXJ5LXRp
dGxlPkhlYXJ0PC9zZWNvbmRhcnktdGl0bGU+PGFsdC10aXRsZT5IZWFydDwvYWx0LXRpdGxlPjwv
dGl0bGVzPjxwZXJpb2RpY2FsPjxmdWxsLXRpdGxlPkhlYXJ0PC9mdWxsLXRpdGxlPjxhYmJyLTE+
SGVhcnQ8L2FiYnItMT48L3BlcmlvZGljYWw+PGFsdC1wZXJpb2RpY2FsPjxmdWxsLXRpdGxlPkhl
YXJ0PC9mdWxsLXRpdGxlPjxhYmJyLTE+SGVhcnQ8L2FiYnItMT48L2FsdC1wZXJpb2RpY2FsPjxw
YWdlcz4xNTUyLTU8L3BhZ2VzPjx2b2x1bWU+OTM8L3ZvbHVtZT48bnVtYmVyPjEyPC9udW1iZXI+
PGtleXdvcmRzPjxrZXl3b3JkPkFuZ2lvcGxhc3R5LCBCYWxsb29uLCBDb3JvbmFyeS8qbW9ydGFs
aXR5PC9rZXl3b3JkPjxrZXl3b3JkPkNvaG9ydCBTdHVkaWVzPC9rZXl3b3JkPjxrZXl3b3JkPkNv
bWJpbmVkIE1vZGFsaXR5IFRoZXJhcHk8L2tleXdvcmQ+PGtleXdvcmQ+RmVtYWxlPC9rZXl3b3Jk
PjxrZXl3b3JkPkh1bWFuczwva2V5d29yZD48a2V5d29yZD5NYWxlPC9rZXl3b3JkPjxrZXl3b3Jk
Pk1pZGRsZSBBZ2VkPC9rZXl3b3JkPjxrZXl3b3JkPk15b2NhcmRpYWwgSW5mYXJjdGlvbi9tb3J0
YWxpdHkvKnRoZXJhcHk8L2tleXdvcmQ+PGtleXdvcmQ+UHJvc3BlY3RpdmUgU3R1ZGllczwva2V5
d29yZD48a2V5d29yZD5SZWdyZXNzaW9uIEFuYWx5c2lzPC9rZXl3b3JkPjxrZXl3b3JkPlRocm9t
Ym9seXRpYyBUaGVyYXB5LyptZXRob2RzPC9rZXl3b3JkPjxrZXl3b3JkPlRpbWUgRmFjdG9yczwv
a2V5d29yZD48a2V5d29yZD5UcmVhdG1lbnQgT3V0Y29tZTwva2V5d29yZD48L2tleXdvcmRzPjxk
YXRlcz48eWVhcj4yMDA3PC95ZWFyPjxwdWItZGF0ZXM+PGRhdGU+RGVjPC9kYXRlPjwvcHViLWRh
dGVzPjwvZGF0ZXM+PGlzYm4+MTQ2OC0yMDFYIChFbGVjdHJvbmljKSYjeEQ7MTM1NS02MDM3IChM
aW5raW5nKTwvaXNibj48YWNjZXNzaW9uLW51bT4xNzU5MTY0MzwvYWNjZXNzaW9uLW51bT48dXJs
cz48cmVsYXRlZC11cmxzPjx1cmw+aHR0cDovL3d3dy5uY2JpLm5sbS5uaWguZ292L3B1Ym1lZC8x
NzU5MTY0MzwvdXJsPjwvcmVsYXRlZC11cmxzPjwvdXJscz48Y3VzdG9tMj4yMDk1NzUyPC9jdXN0
b20yPjxlbGVjdHJvbmljLXJlc291cmNlLW51bT4xMC4xMTM2L2hydC4yMDA2LjExMjg0NzwvZWxl
Y3Ryb25pYy1yZXNvdXJjZS1udW0+PC9yZWNvcmQ+PC9DaXRlPjwvRW5kTm90ZT4A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3" w:tooltip="Nallamothu, 2007 #310" w:history="1">
        <w:r>
          <w:rPr>
            <w:noProof/>
            <w:lang w:val="en-US"/>
          </w:rPr>
          <w:t>3</w:t>
        </w:r>
      </w:hyperlink>
      <w:r>
        <w:rPr>
          <w:noProof/>
          <w:lang w:val="en-US"/>
        </w:rPr>
        <w:t>]</w:t>
      </w:r>
      <w:r>
        <w:rPr>
          <w:lang w:val="en-US"/>
        </w:rPr>
        <w:fldChar w:fldCharType="end"/>
      </w:r>
      <w:r w:rsidRPr="00D40EB3">
        <w:rPr>
          <w:lang w:val="en-US"/>
        </w:rPr>
        <w:t xml:space="preserve">. </w:t>
      </w:r>
    </w:p>
    <w:p w:rsidR="00D32B40" w:rsidRPr="00551528" w:rsidRDefault="00D32B40" w:rsidP="00D32B40">
      <w:pPr>
        <w:pStyle w:val="ListParagraph"/>
        <w:spacing w:line="480" w:lineRule="auto"/>
        <w:rPr>
          <w:b/>
          <w:lang w:val="en-US"/>
        </w:rPr>
      </w:pPr>
    </w:p>
    <w:p w:rsidR="00D32B40" w:rsidRPr="0024527C" w:rsidRDefault="00D32B40" w:rsidP="00D32B40">
      <w:pPr>
        <w:spacing w:line="480" w:lineRule="auto"/>
        <w:rPr>
          <w:b/>
          <w:lang w:val="en-US"/>
        </w:rPr>
      </w:pPr>
      <w:r w:rsidRPr="0024527C">
        <w:rPr>
          <w:b/>
          <w:lang w:val="en-US"/>
        </w:rPr>
        <w:t>Assumptions related to productivity loss:</w:t>
      </w:r>
    </w:p>
    <w:p w:rsidR="00D32B40" w:rsidRDefault="00D32B40" w:rsidP="00D32B40">
      <w:pPr>
        <w:pStyle w:val="ListParagraph"/>
        <w:numPr>
          <w:ilvl w:val="0"/>
          <w:numId w:val="1"/>
        </w:numPr>
        <w:spacing w:line="480" w:lineRule="auto"/>
        <w:rPr>
          <w:lang w:val="en-US"/>
        </w:rPr>
      </w:pPr>
      <w:r>
        <w:rPr>
          <w:lang w:val="en-US"/>
        </w:rPr>
        <w:t>All patients are assumed to retire at the age of 65, indicating that no costs of productivity loss are assumed to occur in patients aged 65 years and older.</w:t>
      </w:r>
    </w:p>
    <w:p w:rsidR="00D32B40" w:rsidRPr="005B2C81" w:rsidRDefault="00D32B40" w:rsidP="00D32B40">
      <w:pPr>
        <w:pStyle w:val="ListParagraph"/>
        <w:numPr>
          <w:ilvl w:val="0"/>
          <w:numId w:val="1"/>
        </w:numPr>
        <w:spacing w:line="480" w:lineRule="auto"/>
        <w:rPr>
          <w:lang w:val="en-US"/>
        </w:rPr>
      </w:pPr>
      <w:r w:rsidRPr="000D35CD">
        <w:rPr>
          <w:lang w:val="en-US"/>
        </w:rPr>
        <w:t>As the distance to the GP is approximately 1</w:t>
      </w:r>
      <w:r>
        <w:rPr>
          <w:lang w:val="en-US"/>
        </w:rPr>
        <w:t>.1</w:t>
      </w:r>
      <w:r w:rsidRPr="000D35CD">
        <w:rPr>
          <w:lang w:val="en-US"/>
        </w:rPr>
        <w:t xml:space="preserve"> kilometer</w:t>
      </w:r>
      <w:r>
        <w:rPr>
          <w:lang w:val="en-US"/>
        </w:rPr>
        <w:t xml:space="preserve"> </w:t>
      </w:r>
      <w:r>
        <w:rPr>
          <w:lang w:val="en-US"/>
        </w:rPr>
        <w:fldChar w:fldCharType="begin"/>
      </w:r>
      <w:r>
        <w:rPr>
          <w:lang w:val="en-US"/>
        </w:rPr>
        <w:instrText xml:space="preserve"> ADDIN EN.CITE &lt;EndNote&gt;&lt;Cite&gt;&lt;Author&gt;Hakkaart-van Roijen&lt;/Author&gt;&lt;Year&gt;2015&lt;/Year&gt;&lt;RecNum&gt;499&lt;/RecNum&gt;&lt;DisplayText&gt;[4]&lt;/DisplayText&gt;&lt;record&gt;&lt;rec-number&gt;499&lt;/rec-number&gt;&lt;foreign-keys&gt;&lt;key app="EN" db-id="dtsz2w2dpexat5exrzjvzddixav9ffp22wpp"&gt;499&lt;/key&gt;&lt;/foreign-keys&gt;&lt;ref-type name="Report"&gt;27&lt;/ref-type&gt;&lt;contributors&gt;&lt;authors&gt;&lt;author&gt;Hakkaart-van Roijen, L.&lt;/author&gt;&lt;author&gt;van der Linden, N.&lt;/author&gt;&lt;author&gt;Bouwmans, C. &lt;/author&gt;&lt;author&gt;Kanters, T.&lt;/author&gt;&lt;author&gt;Tan, S.S.&lt;/author&gt;&lt;/authors&gt;&lt;tertiary-authors&gt;&lt;author&gt;Insitute for Medical Technology Assessment, Erasmus Universiteit Rotterdam&lt;/author&gt;&lt;/tertiary-authors&gt;&lt;/contributors&gt;&lt;titles&gt;&lt;title&gt;Bijlage 1. Kostenhandleiding: methodologie van kostenonderzoek en referentieprijzen voor economische evaluaties in de gezondheidszorg.&lt;/title&gt;&lt;/titles&gt;&lt;pages&gt;1-120&lt;/pages&gt;&lt;dates&gt;&lt;year&gt;2015&lt;/year&gt;&lt;/dates&gt;&lt;pub-location&gt;Rotterdam&lt;/pub-location&gt;&lt;publisher&gt;Institute for Medical Technology Assessment, Erasmus Universiteit Rotterdam&lt;/publisher&gt;&lt;urls&gt;&lt;/urls&gt;&lt;/record&gt;&lt;/Cite&gt;&lt;/EndNote&gt;</w:instrText>
      </w:r>
      <w:r>
        <w:rPr>
          <w:lang w:val="en-US"/>
        </w:rPr>
        <w:fldChar w:fldCharType="separate"/>
      </w:r>
      <w:r>
        <w:rPr>
          <w:noProof/>
          <w:lang w:val="en-US"/>
        </w:rPr>
        <w:t>[</w:t>
      </w:r>
      <w:hyperlink w:anchor="_ENREF_4" w:tooltip="Hakkaart-van Roijen, 2015 #499" w:history="1">
        <w:r>
          <w:rPr>
            <w:noProof/>
            <w:lang w:val="en-US"/>
          </w:rPr>
          <w:t>4</w:t>
        </w:r>
      </w:hyperlink>
      <w:r>
        <w:rPr>
          <w:noProof/>
          <w:lang w:val="en-US"/>
        </w:rPr>
        <w:t>]</w:t>
      </w:r>
      <w:r>
        <w:rPr>
          <w:lang w:val="en-US"/>
        </w:rPr>
        <w:fldChar w:fldCharType="end"/>
      </w:r>
      <w:r w:rsidRPr="000D35CD">
        <w:rPr>
          <w:lang w:val="en-US"/>
        </w:rPr>
        <w:t>, the travel time to the GP is set at 15 minutes. Therefore, a GP consultation is assumed to take 2 x 15 minutes travel time, plus 1 x 10 minutes consultation time = 40 minutes.</w:t>
      </w:r>
      <w:r>
        <w:rPr>
          <w:lang w:val="en-US"/>
        </w:rPr>
        <w:t xml:space="preserve"> </w:t>
      </w:r>
      <w:r w:rsidRPr="000D35CD">
        <w:rPr>
          <w:lang w:val="en-US"/>
        </w:rPr>
        <w:t xml:space="preserve">In case a POC troponin test is performed, an </w:t>
      </w:r>
      <w:r w:rsidRPr="005B2C81">
        <w:rPr>
          <w:lang w:val="en-US"/>
        </w:rPr>
        <w:t>additional time of 10 minutes is assumed.</w:t>
      </w:r>
    </w:p>
    <w:p w:rsidR="00D32B40" w:rsidRDefault="008565D4" w:rsidP="00D32B40">
      <w:pPr>
        <w:pStyle w:val="ListParagraph"/>
        <w:numPr>
          <w:ilvl w:val="0"/>
          <w:numId w:val="1"/>
        </w:numPr>
        <w:spacing w:line="480" w:lineRule="auto"/>
        <w:rPr>
          <w:lang w:val="en-US"/>
        </w:rPr>
      </w:pPr>
      <w:r>
        <w:rPr>
          <w:lang w:val="en-US"/>
        </w:rPr>
        <w:t>The duration of an emergency department</w:t>
      </w:r>
      <w:r w:rsidR="00D32B40" w:rsidRPr="005B2C81">
        <w:rPr>
          <w:lang w:val="en-US"/>
        </w:rPr>
        <w:t xml:space="preserve"> referral for chest pain is estimated by various hospitals to differ between 2 and 24 hours, but 8 hours is often considered as the average duration. Therefore, the duration of an ED referral, including the consultation at the GP, is estimated to take one working day, i.e. 8 hours.</w:t>
      </w:r>
    </w:p>
    <w:p w:rsidR="00D32B40" w:rsidRDefault="00D32B40">
      <w:pPr>
        <w:rPr>
          <w:lang w:val="en-US"/>
        </w:rPr>
      </w:pPr>
    </w:p>
    <w:p w:rsidR="00D32B40" w:rsidRDefault="00D32B40">
      <w:pPr>
        <w:rPr>
          <w:lang w:val="en-US"/>
        </w:rPr>
      </w:pPr>
    </w:p>
    <w:p w:rsidR="00D32B40" w:rsidRDefault="00D32B40">
      <w:pPr>
        <w:rPr>
          <w:lang w:val="en-US"/>
        </w:rPr>
      </w:pPr>
    </w:p>
    <w:p w:rsidR="00D32B40" w:rsidRDefault="00D32B40">
      <w:pPr>
        <w:rPr>
          <w:lang w:val="en-US"/>
        </w:rPr>
      </w:pPr>
    </w:p>
    <w:p w:rsidR="00D32B40" w:rsidRDefault="00D32B40">
      <w:pPr>
        <w:rPr>
          <w:lang w:val="en-US"/>
        </w:rPr>
      </w:pPr>
      <w:r w:rsidRPr="00D32B40">
        <w:rPr>
          <w:b/>
          <w:lang w:val="en-US"/>
        </w:rPr>
        <w:lastRenderedPageBreak/>
        <w:t>References</w:t>
      </w:r>
      <w:r>
        <w:rPr>
          <w:lang w:val="en-US"/>
        </w:rPr>
        <w:t>:</w:t>
      </w:r>
    </w:p>
    <w:p w:rsidR="00D32B40" w:rsidRPr="000E7815" w:rsidRDefault="00D32B40" w:rsidP="00D32B40">
      <w:pPr>
        <w:spacing w:after="0" w:line="240" w:lineRule="auto"/>
        <w:ind w:left="720" w:hanging="720"/>
        <w:rPr>
          <w:rFonts w:ascii="Calibri" w:hAnsi="Calibri"/>
          <w:noProof/>
          <w:lang w:val="en-US"/>
        </w:rPr>
      </w:pPr>
      <w:r>
        <w:rPr>
          <w:lang w:val="en-US"/>
        </w:rPr>
        <w:fldChar w:fldCharType="begin"/>
      </w:r>
      <w:r>
        <w:rPr>
          <w:lang w:val="en-US"/>
        </w:rPr>
        <w:instrText xml:space="preserve"> ADDIN EN.REFLIST </w:instrText>
      </w:r>
      <w:r>
        <w:rPr>
          <w:lang w:val="en-US"/>
        </w:rPr>
        <w:fldChar w:fldCharType="separate"/>
      </w:r>
      <w:bookmarkStart w:id="1" w:name="_ENREF_1"/>
      <w:r w:rsidRPr="000E7815">
        <w:rPr>
          <w:rFonts w:ascii="Calibri" w:hAnsi="Calibri"/>
          <w:noProof/>
          <w:lang w:val="en-US"/>
        </w:rPr>
        <w:t>1.</w:t>
      </w:r>
      <w:r w:rsidRPr="000E7815">
        <w:rPr>
          <w:rFonts w:ascii="Calibri" w:hAnsi="Calibri"/>
          <w:noProof/>
          <w:lang w:val="en-US"/>
        </w:rPr>
        <w:tab/>
        <w:t xml:space="preserve">Kip, M.M.A., et al., </w:t>
      </w:r>
      <w:r w:rsidR="000E7815" w:rsidRPr="000E7815">
        <w:rPr>
          <w:lang w:val="en-US"/>
        </w:rPr>
        <w:t>Improving early exclusion of acute coronary syndrome in primary care: the added value of point-of-care troponin as stated by general practitioners, manuscript submitted,</w:t>
      </w:r>
      <w:r w:rsidRPr="000E7815">
        <w:rPr>
          <w:rFonts w:ascii="Calibri" w:hAnsi="Calibri"/>
          <w:noProof/>
          <w:lang w:val="en-US"/>
        </w:rPr>
        <w:t xml:space="preserve"> 2016.</w:t>
      </w:r>
      <w:bookmarkEnd w:id="1"/>
    </w:p>
    <w:p w:rsidR="00D32B40" w:rsidRPr="00D32B40" w:rsidRDefault="00D32B40" w:rsidP="00D32B40">
      <w:pPr>
        <w:spacing w:after="0" w:line="240" w:lineRule="auto"/>
        <w:ind w:left="720" w:hanging="720"/>
        <w:rPr>
          <w:rFonts w:ascii="Calibri" w:hAnsi="Calibri"/>
          <w:noProof/>
          <w:lang w:val="en-US"/>
        </w:rPr>
      </w:pPr>
      <w:bookmarkStart w:id="2" w:name="_ENREF_2"/>
      <w:r w:rsidRPr="00D32B40">
        <w:rPr>
          <w:rFonts w:ascii="Calibri" w:hAnsi="Calibri"/>
          <w:noProof/>
          <w:lang w:val="en-US"/>
        </w:rPr>
        <w:t>2.</w:t>
      </w:r>
      <w:r w:rsidRPr="00D32B40">
        <w:rPr>
          <w:rFonts w:ascii="Calibri" w:hAnsi="Calibri"/>
          <w:noProof/>
          <w:lang w:val="en-US"/>
        </w:rPr>
        <w:tab/>
        <w:t xml:space="preserve">Yang, Z. and D. Min Zhou, </w:t>
      </w:r>
      <w:r w:rsidRPr="00D32B40">
        <w:rPr>
          <w:rFonts w:ascii="Calibri" w:hAnsi="Calibri"/>
          <w:i/>
          <w:noProof/>
          <w:lang w:val="en-US"/>
        </w:rPr>
        <w:t>Cardiac markers and their point-of-care testing for diagnosis of acute myocardial infarction.</w:t>
      </w:r>
      <w:r w:rsidRPr="00D32B40">
        <w:rPr>
          <w:rFonts w:ascii="Calibri" w:hAnsi="Calibri"/>
          <w:noProof/>
          <w:lang w:val="en-US"/>
        </w:rPr>
        <w:t xml:space="preserve"> Clin Biochem, 2006. </w:t>
      </w:r>
      <w:r w:rsidRPr="00D32B40">
        <w:rPr>
          <w:rFonts w:ascii="Calibri" w:hAnsi="Calibri"/>
          <w:b/>
          <w:noProof/>
          <w:lang w:val="en-US"/>
        </w:rPr>
        <w:t>39</w:t>
      </w:r>
      <w:r w:rsidRPr="00D32B40">
        <w:rPr>
          <w:rFonts w:ascii="Calibri" w:hAnsi="Calibri"/>
          <w:noProof/>
          <w:lang w:val="en-US"/>
        </w:rPr>
        <w:t>(8): p. 771-80.</w:t>
      </w:r>
      <w:bookmarkEnd w:id="2"/>
    </w:p>
    <w:p w:rsidR="00D32B40" w:rsidRPr="00D32B40" w:rsidRDefault="00D32B40" w:rsidP="00D32B40">
      <w:pPr>
        <w:spacing w:after="0" w:line="240" w:lineRule="auto"/>
        <w:ind w:left="720" w:hanging="720"/>
        <w:rPr>
          <w:rFonts w:ascii="Calibri" w:hAnsi="Calibri"/>
          <w:noProof/>
          <w:lang w:val="en-US"/>
        </w:rPr>
      </w:pPr>
      <w:bookmarkStart w:id="3" w:name="_ENREF_3"/>
      <w:r w:rsidRPr="00D32B40">
        <w:rPr>
          <w:rFonts w:ascii="Calibri" w:hAnsi="Calibri"/>
          <w:noProof/>
          <w:lang w:val="en-US"/>
        </w:rPr>
        <w:t>3.</w:t>
      </w:r>
      <w:r w:rsidRPr="00D32B40">
        <w:rPr>
          <w:rFonts w:ascii="Calibri" w:hAnsi="Calibri"/>
          <w:noProof/>
          <w:lang w:val="en-US"/>
        </w:rPr>
        <w:tab/>
        <w:t xml:space="preserve">Nallamothu, B., et al., </w:t>
      </w:r>
      <w:r w:rsidRPr="00D32B40">
        <w:rPr>
          <w:rFonts w:ascii="Calibri" w:hAnsi="Calibri"/>
          <w:i/>
          <w:noProof/>
          <w:lang w:val="en-US"/>
        </w:rPr>
        <w:t>Relationship of treatment delays and mortality in patients undergoing fibrinolysis and primary percutaneous coronary intervention. The Global Registry of Acute Coronary Events.</w:t>
      </w:r>
      <w:r w:rsidRPr="00D32B40">
        <w:rPr>
          <w:rFonts w:ascii="Calibri" w:hAnsi="Calibri"/>
          <w:noProof/>
          <w:lang w:val="en-US"/>
        </w:rPr>
        <w:t xml:space="preserve"> Heart, 2007. </w:t>
      </w:r>
      <w:r w:rsidRPr="00D32B40">
        <w:rPr>
          <w:rFonts w:ascii="Calibri" w:hAnsi="Calibri"/>
          <w:b/>
          <w:noProof/>
          <w:lang w:val="en-US"/>
        </w:rPr>
        <w:t>93</w:t>
      </w:r>
      <w:r w:rsidRPr="00D32B40">
        <w:rPr>
          <w:rFonts w:ascii="Calibri" w:hAnsi="Calibri"/>
          <w:noProof/>
          <w:lang w:val="en-US"/>
        </w:rPr>
        <w:t>(12): p. 1552-5.</w:t>
      </w:r>
      <w:bookmarkEnd w:id="3"/>
    </w:p>
    <w:p w:rsidR="00D32B40" w:rsidRPr="00C55D17" w:rsidRDefault="00D32B40" w:rsidP="00D32B40">
      <w:pPr>
        <w:spacing w:line="240" w:lineRule="auto"/>
        <w:ind w:left="720" w:hanging="720"/>
        <w:rPr>
          <w:rFonts w:ascii="Calibri" w:hAnsi="Calibri"/>
          <w:noProof/>
        </w:rPr>
      </w:pPr>
      <w:bookmarkStart w:id="4" w:name="_ENREF_4"/>
      <w:r w:rsidRPr="00D32B40">
        <w:rPr>
          <w:rFonts w:ascii="Calibri" w:hAnsi="Calibri"/>
          <w:noProof/>
          <w:lang w:val="en-US"/>
        </w:rPr>
        <w:t>4.</w:t>
      </w:r>
      <w:r w:rsidRPr="00D32B40">
        <w:rPr>
          <w:rFonts w:ascii="Calibri" w:hAnsi="Calibri"/>
          <w:noProof/>
          <w:lang w:val="en-US"/>
        </w:rPr>
        <w:tab/>
        <w:t xml:space="preserve">Hakkaart-van Roijen, L., et al., </w:t>
      </w:r>
      <w:r w:rsidRPr="00D32B40">
        <w:rPr>
          <w:rFonts w:ascii="Calibri" w:hAnsi="Calibri"/>
          <w:i/>
          <w:noProof/>
          <w:lang w:val="en-US"/>
        </w:rPr>
        <w:t xml:space="preserve">Bijlage 1. </w:t>
      </w:r>
      <w:r w:rsidRPr="00C55D17">
        <w:rPr>
          <w:rFonts w:ascii="Calibri" w:hAnsi="Calibri"/>
          <w:i/>
          <w:noProof/>
        </w:rPr>
        <w:t>Kostenhandleiding: methodologie van kostenonderzoek en referentieprijzen voor economische evaluaties in de gezondheidszorg.</w:t>
      </w:r>
      <w:r w:rsidRPr="00C55D17">
        <w:rPr>
          <w:rFonts w:ascii="Calibri" w:hAnsi="Calibri"/>
          <w:noProof/>
        </w:rPr>
        <w:t>, 2015, Institute for Medical Technology Assessment, Erasmus Universiteit Rotterdam: Rotterdam. p. 1-120.</w:t>
      </w:r>
      <w:bookmarkEnd w:id="4"/>
    </w:p>
    <w:p w:rsidR="00D32B40" w:rsidRPr="00C55D17" w:rsidRDefault="00D32B40" w:rsidP="00D32B40">
      <w:pPr>
        <w:spacing w:line="240" w:lineRule="auto"/>
        <w:rPr>
          <w:noProof/>
        </w:rPr>
      </w:pPr>
    </w:p>
    <w:p w:rsidR="00AB6A79" w:rsidRPr="00D32B40" w:rsidRDefault="00D32B40">
      <w:pPr>
        <w:rPr>
          <w:lang w:val="en-US"/>
        </w:rPr>
      </w:pPr>
      <w:r>
        <w:rPr>
          <w:lang w:val="en-US"/>
        </w:rPr>
        <w:fldChar w:fldCharType="end"/>
      </w:r>
    </w:p>
    <w:sectPr w:rsidR="00AB6A79" w:rsidRPr="00D32B4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D725D"/>
    <w:multiLevelType w:val="hybridMultilevel"/>
    <w:tmpl w:val="30C8D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tsz2w2dpexat5exrzjvzddixav9ffp22wpp&quot;&gt;PCT testing&lt;record-ids&gt;&lt;item&gt;310&lt;/item&gt;&lt;item&gt;421&lt;/item&gt;&lt;item&gt;499&lt;/item&gt;&lt;/record-ids&gt;&lt;/item&gt;&lt;/Libraries&gt;"/>
  </w:docVars>
  <w:rsids>
    <w:rsidRoot w:val="00D32B40"/>
    <w:rsid w:val="0005517D"/>
    <w:rsid w:val="00097179"/>
    <w:rsid w:val="000E7815"/>
    <w:rsid w:val="003E596E"/>
    <w:rsid w:val="004D7CB3"/>
    <w:rsid w:val="004F1C99"/>
    <w:rsid w:val="007E5A2D"/>
    <w:rsid w:val="008565D4"/>
    <w:rsid w:val="00C55D17"/>
    <w:rsid w:val="00D32B40"/>
    <w:rsid w:val="00DF1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FD24D-5028-4A55-8AE0-938D7AB9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B40"/>
    <w:pPr>
      <w:ind w:left="720"/>
      <w:contextualSpacing/>
    </w:pPr>
  </w:style>
  <w:style w:type="character" w:styleId="Hyperlink">
    <w:name w:val="Hyperlink"/>
    <w:basedOn w:val="DefaultParagraphFont"/>
    <w:uiPriority w:val="99"/>
    <w:unhideWhenUsed/>
    <w:rsid w:val="00D32B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1324</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Twente University</Company>
  <LinksUpToDate>false</LinksUpToDate>
  <CharactersWithSpaces>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 M.M.A. (BMS)</dc:creator>
  <cp:keywords/>
  <dc:description/>
  <cp:lastModifiedBy>Kip, M.M.A. (BMS)</cp:lastModifiedBy>
  <cp:revision>7</cp:revision>
  <dcterms:created xsi:type="dcterms:W3CDTF">2016-10-17T09:22:00Z</dcterms:created>
  <dcterms:modified xsi:type="dcterms:W3CDTF">2016-12-19T07:57:00Z</dcterms:modified>
</cp:coreProperties>
</file>