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CCF" w:rsidRPr="00B60243" w:rsidRDefault="00796CCF" w:rsidP="00796CCF">
      <w:pPr>
        <w:spacing w:after="120" w:line="360" w:lineRule="auto"/>
        <w:rPr>
          <w:rFonts w:cs="Times New Roman"/>
          <w:b/>
          <w:lang w:val="en-GB"/>
        </w:rPr>
      </w:pPr>
      <w:r w:rsidRPr="00B60243">
        <w:rPr>
          <w:rFonts w:cs="Times New Roman"/>
          <w:b/>
          <w:lang w:val="en-GB"/>
        </w:rPr>
        <w:t xml:space="preserve">Table </w:t>
      </w:r>
      <w:r>
        <w:rPr>
          <w:rFonts w:cs="Times New Roman"/>
          <w:b/>
          <w:lang w:val="en-GB"/>
        </w:rPr>
        <w:t>S</w:t>
      </w:r>
      <w:bookmarkStart w:id="0" w:name="_GoBack"/>
      <w:bookmarkEnd w:id="0"/>
      <w:r w:rsidRPr="00B60243">
        <w:rPr>
          <w:rFonts w:cs="Times New Roman"/>
          <w:b/>
          <w:lang w:val="en-GB"/>
        </w:rPr>
        <w:t>1 – Baseline patient characteristics TAVR+OP vs. MIDCAB</w:t>
      </w:r>
    </w:p>
    <w:tbl>
      <w:tblPr>
        <w:tblStyle w:val="TableGrid"/>
        <w:tblW w:w="495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2"/>
        <w:gridCol w:w="2100"/>
        <w:gridCol w:w="2099"/>
        <w:gridCol w:w="2099"/>
      </w:tblGrid>
      <w:tr w:rsidR="00796CCF" w:rsidRPr="00B60243" w:rsidTr="008E4076">
        <w:tc>
          <w:tcPr>
            <w:tcW w:w="1678" w:type="pct"/>
            <w:tcBorders>
              <w:top w:val="single" w:sz="12" w:space="0" w:color="auto"/>
              <w:bottom w:val="single" w:sz="4" w:space="0" w:color="auto"/>
            </w:tcBorders>
          </w:tcPr>
          <w:p w:rsidR="00796CCF" w:rsidRPr="00B60243" w:rsidRDefault="00796CCF" w:rsidP="008E4076">
            <w:pPr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tcBorders>
              <w:top w:val="single" w:sz="12" w:space="0" w:color="auto"/>
              <w:bottom w:val="single" w:sz="4" w:space="0" w:color="auto"/>
            </w:tcBorders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TAVR+OP/MIDCAB</w:t>
            </w:r>
          </w:p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(n = 50)</w:t>
            </w:r>
          </w:p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i/>
                <w:sz w:val="22"/>
                <w:szCs w:val="22"/>
                <w:lang w:val="en-GB"/>
              </w:rPr>
              <w:t>mean ± SD or median (IQR) or n (%)</w:t>
            </w:r>
          </w:p>
        </w:tc>
        <w:tc>
          <w:tcPr>
            <w:tcW w:w="1107" w:type="pct"/>
            <w:tcBorders>
              <w:top w:val="single" w:sz="12" w:space="0" w:color="auto"/>
              <w:bottom w:val="single" w:sz="4" w:space="0" w:color="auto"/>
            </w:tcBorders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TAVR+OP</w:t>
            </w:r>
          </w:p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(n = 24)</w:t>
            </w:r>
          </w:p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i/>
                <w:sz w:val="22"/>
                <w:szCs w:val="22"/>
                <w:lang w:val="en-GB"/>
              </w:rPr>
              <w:t>mean ± SD or median (IQR) or n (%)</w:t>
            </w:r>
          </w:p>
        </w:tc>
        <w:tc>
          <w:tcPr>
            <w:tcW w:w="1107" w:type="pct"/>
            <w:tcBorders>
              <w:top w:val="single" w:sz="12" w:space="0" w:color="auto"/>
              <w:bottom w:val="single" w:sz="4" w:space="0" w:color="auto"/>
            </w:tcBorders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MIDCAB</w:t>
            </w:r>
          </w:p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b/>
                <w:sz w:val="22"/>
                <w:szCs w:val="22"/>
                <w:lang w:val="en-GB"/>
              </w:rPr>
              <w:t>(n = 26)</w:t>
            </w:r>
          </w:p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b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i/>
                <w:sz w:val="22"/>
                <w:szCs w:val="22"/>
                <w:lang w:val="en-GB"/>
              </w:rPr>
              <w:t>mean ± SD or median (IQR) or n (%)</w:t>
            </w:r>
          </w:p>
        </w:tc>
      </w:tr>
      <w:tr w:rsidR="00796CCF" w:rsidRPr="00B60243" w:rsidTr="008E4076">
        <w:tc>
          <w:tcPr>
            <w:tcW w:w="1678" w:type="pct"/>
            <w:tcBorders>
              <w:top w:val="single" w:sz="4" w:space="0" w:color="auto"/>
            </w:tcBorders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Age (years)</w:t>
            </w:r>
          </w:p>
        </w:tc>
        <w:tc>
          <w:tcPr>
            <w:tcW w:w="1107" w:type="pct"/>
            <w:tcBorders>
              <w:top w:val="single" w:sz="4" w:space="0" w:color="auto"/>
            </w:tcBorders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82.1 ± 4.3</w:t>
            </w:r>
          </w:p>
        </w:tc>
        <w:tc>
          <w:tcPr>
            <w:tcW w:w="11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81.5 ± 3.8</w:t>
            </w:r>
          </w:p>
        </w:tc>
        <w:tc>
          <w:tcPr>
            <w:tcW w:w="1107" w:type="pct"/>
            <w:tcBorders>
              <w:top w:val="single" w:sz="4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82.6 ± 4.6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Female gender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19 (38.0)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12 ( (50.0)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19 (38.0)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BMI (kg/m</w:t>
            </w:r>
            <w:r w:rsidRPr="00B60243">
              <w:rPr>
                <w:rFonts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B60243">
              <w:rPr>
                <w:rFonts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26.1 ± 4.7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25.5 ± 5.0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26.8 ± 4.4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Clinical history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History of stroke/TIA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7 (14.0)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 (6.0)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 (11.5)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History of MI (&lt;90 days)</w:t>
            </w:r>
          </w:p>
        </w:tc>
        <w:tc>
          <w:tcPr>
            <w:tcW w:w="1107" w:type="pct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16 (32.0)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 (33.3)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 (30.8)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Previous cardiac surgery</w:t>
            </w:r>
          </w:p>
        </w:tc>
        <w:tc>
          <w:tcPr>
            <w:tcW w:w="1107" w:type="pct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(2.0)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 (0)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 (3.8)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Diabetes mellitus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19 (38.0)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11 (45.8)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 (30.8)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Hypertension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50 (100.0)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24 (100.0)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26 (100.0)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Pulmonary disease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9 (18.0)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 (20.8)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 (15.4)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Pulmonary hypertension*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27 (54.0)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10 (41.7)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17 (65.4)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Chronic kidney disease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 xml:space="preserve">Compensated 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22 (44.0)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9 (37.5)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13 (50.0)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Prior dialysis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 (6.0)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(8.3)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(7.7)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Other valve disorders</w:t>
            </w:r>
          </w:p>
        </w:tc>
        <w:tc>
          <w:tcPr>
            <w:tcW w:w="1107" w:type="pct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</w:tr>
      <w:tr w:rsidR="00796CCF" w:rsidRPr="00B60243" w:rsidTr="008E4076">
        <w:tc>
          <w:tcPr>
            <w:tcW w:w="1678" w:type="pct"/>
            <w:shd w:val="clear" w:color="auto" w:fill="auto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Mitral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32 (64.0)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16 (66.6)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16 (61.5)</w:t>
            </w:r>
          </w:p>
        </w:tc>
      </w:tr>
      <w:tr w:rsidR="00796CCF" w:rsidRPr="00B60243" w:rsidTr="008E4076">
        <w:tc>
          <w:tcPr>
            <w:tcW w:w="1678" w:type="pct"/>
            <w:shd w:val="clear" w:color="auto" w:fill="auto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426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Tricuspid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20 (40.0)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 (33.3)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12 (46.2)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EuroSCORE I (%)</w:t>
            </w:r>
          </w:p>
        </w:tc>
        <w:tc>
          <w:tcPr>
            <w:tcW w:w="1107" w:type="pct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36.4 ± 22.4</w:t>
            </w:r>
          </w:p>
        </w:tc>
        <w:tc>
          <w:tcPr>
            <w:tcW w:w="1107" w:type="pct"/>
            <w:shd w:val="clear" w:color="auto" w:fill="auto"/>
            <w:vAlign w:val="center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36.6 ± 24.6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36.2 ± 20.7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NYHA class</w:t>
            </w:r>
          </w:p>
        </w:tc>
        <w:tc>
          <w:tcPr>
            <w:tcW w:w="1107" w:type="pct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I/II</w:t>
            </w:r>
          </w:p>
        </w:tc>
        <w:tc>
          <w:tcPr>
            <w:tcW w:w="1107" w:type="pct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8 (16.0)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 (8.3)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6 (23.0)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ab/>
              <w:t>III/IV</w:t>
            </w:r>
          </w:p>
        </w:tc>
        <w:tc>
          <w:tcPr>
            <w:tcW w:w="1107" w:type="pct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42 (84.0)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22 (91.7)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20 (67.9)</w:t>
            </w:r>
          </w:p>
        </w:tc>
      </w:tr>
      <w:tr w:rsidR="00796CCF" w:rsidRPr="00B60243" w:rsidTr="008E4076">
        <w:tc>
          <w:tcPr>
            <w:tcW w:w="1678" w:type="pct"/>
            <w:tcBorders>
              <w:bottom w:val="single" w:sz="4" w:space="0" w:color="auto"/>
            </w:tcBorders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Multi-vessel CAD</w:t>
            </w:r>
          </w:p>
        </w:tc>
        <w:tc>
          <w:tcPr>
            <w:tcW w:w="1107" w:type="pct"/>
            <w:tcBorders>
              <w:bottom w:val="single" w:sz="4" w:space="0" w:color="auto"/>
            </w:tcBorders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42 (84.0)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23 (95.8)</w:t>
            </w: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19 (73.1)</w:t>
            </w:r>
          </w:p>
        </w:tc>
      </w:tr>
      <w:tr w:rsidR="00796CCF" w:rsidRPr="00B60243" w:rsidTr="008E4076">
        <w:tc>
          <w:tcPr>
            <w:tcW w:w="1678" w:type="pct"/>
            <w:tcBorders>
              <w:top w:val="single" w:sz="4" w:space="0" w:color="auto"/>
            </w:tcBorders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AV parameters</w:t>
            </w:r>
          </w:p>
        </w:tc>
        <w:tc>
          <w:tcPr>
            <w:tcW w:w="1107" w:type="pct"/>
            <w:tcBorders>
              <w:top w:val="single" w:sz="4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tcBorders>
              <w:top w:val="single" w:sz="4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  <w:tc>
          <w:tcPr>
            <w:tcW w:w="1107" w:type="pct"/>
            <w:tcBorders>
              <w:top w:val="single" w:sz="4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LVEF (%)</w:t>
            </w:r>
          </w:p>
        </w:tc>
        <w:tc>
          <w:tcPr>
            <w:tcW w:w="1107" w:type="pct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48.3 ± 14.4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50.4 ± 16.7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46.4 ± 11.9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EOA (cm</w:t>
            </w:r>
            <w:r w:rsidRPr="00B60243">
              <w:rPr>
                <w:rFonts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B60243">
              <w:rPr>
                <w:rFonts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0.7 ± 0.2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0.7 ± 0.2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0.8 ± 0.2</w:t>
            </w:r>
          </w:p>
        </w:tc>
      </w:tr>
      <w:tr w:rsidR="00796CCF" w:rsidRPr="00B60243" w:rsidTr="008E4076">
        <w:trPr>
          <w:trHeight w:val="87"/>
        </w:trPr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Mean AV gradient (mmHg)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40.4 ± 14.0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38.0 ± 14.6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42.7 ± 13.3</w:t>
            </w:r>
          </w:p>
        </w:tc>
      </w:tr>
      <w:tr w:rsidR="00796CCF" w:rsidRPr="00B60243" w:rsidTr="008E4076">
        <w:tc>
          <w:tcPr>
            <w:tcW w:w="1678" w:type="pct"/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ind w:left="284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Peak AV gradient (mmHg)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67.9 ± 19.7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66.0 ± 20.8</w:t>
            </w:r>
          </w:p>
        </w:tc>
        <w:tc>
          <w:tcPr>
            <w:tcW w:w="1107" w:type="pct"/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69.7 ± 18.8</w:t>
            </w:r>
          </w:p>
        </w:tc>
      </w:tr>
      <w:tr w:rsidR="00796CCF" w:rsidRPr="00B60243" w:rsidTr="008E4076">
        <w:trPr>
          <w:trHeight w:val="87"/>
        </w:trPr>
        <w:tc>
          <w:tcPr>
            <w:tcW w:w="1678" w:type="pct"/>
            <w:tcBorders>
              <w:bottom w:val="single" w:sz="12" w:space="0" w:color="auto"/>
            </w:tcBorders>
          </w:tcPr>
          <w:p w:rsidR="00796CCF" w:rsidRPr="00B60243" w:rsidRDefault="00796CCF" w:rsidP="008E4076">
            <w:pPr>
              <w:tabs>
                <w:tab w:val="left" w:pos="285"/>
              </w:tabs>
              <w:spacing w:after="120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lastRenderedPageBreak/>
              <w:tab/>
              <w:t>Annulus size (cm</w:t>
            </w:r>
            <w:r w:rsidRPr="00B60243">
              <w:rPr>
                <w:rFonts w:cs="Times New Roman"/>
                <w:sz w:val="22"/>
                <w:szCs w:val="22"/>
                <w:vertAlign w:val="superscript"/>
                <w:lang w:val="en-GB"/>
              </w:rPr>
              <w:t>2</w:t>
            </w:r>
            <w:r w:rsidRPr="00B60243">
              <w:rPr>
                <w:rFonts w:cs="Times New Roman"/>
                <w:sz w:val="22"/>
                <w:szCs w:val="22"/>
                <w:lang w:val="en-GB"/>
              </w:rPr>
              <w:t>)</w:t>
            </w:r>
          </w:p>
        </w:tc>
        <w:tc>
          <w:tcPr>
            <w:tcW w:w="1107" w:type="pct"/>
            <w:tcBorders>
              <w:bottom w:val="single" w:sz="12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23.7 ± 2.2</w:t>
            </w:r>
          </w:p>
        </w:tc>
        <w:tc>
          <w:tcPr>
            <w:tcW w:w="1107" w:type="pct"/>
            <w:tcBorders>
              <w:bottom w:val="single" w:sz="12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23.3 ± 2.4</w:t>
            </w:r>
          </w:p>
        </w:tc>
        <w:tc>
          <w:tcPr>
            <w:tcW w:w="1107" w:type="pct"/>
            <w:tcBorders>
              <w:bottom w:val="single" w:sz="12" w:space="0" w:color="auto"/>
            </w:tcBorders>
            <w:shd w:val="clear" w:color="auto" w:fill="auto"/>
          </w:tcPr>
          <w:p w:rsidR="00796CCF" w:rsidRPr="00B60243" w:rsidRDefault="00796CCF" w:rsidP="008E4076">
            <w:pPr>
              <w:spacing w:after="120"/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B60243">
              <w:rPr>
                <w:rFonts w:cs="Times New Roman"/>
                <w:sz w:val="22"/>
                <w:szCs w:val="22"/>
                <w:lang w:val="en-GB"/>
              </w:rPr>
              <w:t>24.0 ± 2.0</w:t>
            </w:r>
          </w:p>
        </w:tc>
      </w:tr>
    </w:tbl>
    <w:p w:rsidR="00796CCF" w:rsidRPr="00B60243" w:rsidRDefault="00796CCF" w:rsidP="00796CCF">
      <w:pPr>
        <w:spacing w:after="120" w:line="360" w:lineRule="auto"/>
        <w:rPr>
          <w:rFonts w:cs="Times New Roman"/>
          <w:lang w:val="en-GB"/>
        </w:rPr>
      </w:pPr>
      <w:r w:rsidRPr="00B60243">
        <w:rPr>
          <w:rFonts w:cs="Times New Roman"/>
          <w:i/>
          <w:lang w:val="en-GB"/>
        </w:rPr>
        <w:t>Legend:</w:t>
      </w:r>
      <w:r w:rsidRPr="00B60243">
        <w:rPr>
          <w:rFonts w:cs="Times New Roman"/>
          <w:lang w:val="en-GB"/>
        </w:rPr>
        <w:t xml:space="preserve"> *PapSys &gt;30 mmHg.</w:t>
      </w:r>
    </w:p>
    <w:p w:rsidR="005136CC" w:rsidRDefault="005136CC" w:rsidP="00EE0E39">
      <w:pPr>
        <w:ind w:firstLine="480"/>
      </w:pPr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CCF"/>
    <w:rsid w:val="000952F6"/>
    <w:rsid w:val="003E0DE0"/>
    <w:rsid w:val="00415C0C"/>
    <w:rsid w:val="005136CC"/>
    <w:rsid w:val="00796CCF"/>
    <w:rsid w:val="008E4CB0"/>
    <w:rsid w:val="009A78C3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796CCF"/>
    <w:rPr>
      <w:rFonts w:ascii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TableGrid">
    <w:name w:val="Table Grid"/>
    <w:basedOn w:val="TableNormal"/>
    <w:uiPriority w:val="59"/>
    <w:rsid w:val="00796CCF"/>
    <w:rPr>
      <w:rFonts w:ascii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1229</Characters>
  <Application>Microsoft Office Word</Application>
  <DocSecurity>0</DocSecurity>
  <Lines>39</Lines>
  <Paragraphs>27</Paragraphs>
  <ScaleCrop>false</ScaleCrop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2019-04-24T14:09:00Z</dcterms:created>
  <dcterms:modified xsi:type="dcterms:W3CDTF">2019-04-24T14:09:00Z</dcterms:modified>
</cp:coreProperties>
</file>