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B13" w:rsidRPr="00B60243" w:rsidRDefault="00F43B13" w:rsidP="00F43B13">
      <w:pPr>
        <w:spacing w:after="120" w:line="480" w:lineRule="auto"/>
        <w:rPr>
          <w:rFonts w:cs="Times New Roman"/>
          <w:b/>
          <w:lang w:val="en-GB"/>
        </w:rPr>
      </w:pPr>
      <w:r w:rsidRPr="00B60243">
        <w:rPr>
          <w:rFonts w:cs="Times New Roman"/>
          <w:b/>
          <w:lang w:val="en-GB"/>
        </w:rPr>
        <w:t>Table 2 – Peri-procedural details, hospital stay and complications TAVR+OP vs. MIDCAB</w:t>
      </w:r>
    </w:p>
    <w:tbl>
      <w:tblPr>
        <w:tblStyle w:val="TableGrid"/>
        <w:tblW w:w="43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9"/>
        <w:gridCol w:w="1908"/>
        <w:gridCol w:w="1741"/>
        <w:gridCol w:w="1739"/>
      </w:tblGrid>
      <w:tr w:rsidR="00F43B13" w:rsidRPr="00B60243" w:rsidTr="008E4076">
        <w:trPr>
          <w:trHeight w:val="440"/>
        </w:trPr>
        <w:tc>
          <w:tcPr>
            <w:tcW w:w="1824" w:type="pct"/>
            <w:tcBorders>
              <w:top w:val="single" w:sz="12" w:space="0" w:color="auto"/>
              <w:bottom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059" w:type="pct"/>
            <w:tcBorders>
              <w:top w:val="single" w:sz="12" w:space="0" w:color="auto"/>
              <w:bottom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TAVR+OP/MIDCAB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(n = 50)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i/>
                <w:sz w:val="22"/>
                <w:szCs w:val="22"/>
                <w:lang w:val="en-GB"/>
              </w:rPr>
              <w:t>mean ± SD or median (IQR) or n (%)</w:t>
            </w:r>
          </w:p>
        </w:tc>
        <w:tc>
          <w:tcPr>
            <w:tcW w:w="1059" w:type="pct"/>
            <w:tcBorders>
              <w:top w:val="single" w:sz="12" w:space="0" w:color="auto"/>
              <w:bottom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TAVR+OP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(n = 24)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i/>
                <w:sz w:val="22"/>
                <w:szCs w:val="22"/>
                <w:lang w:val="en-GB"/>
              </w:rPr>
              <w:t>mean ± SD or median (IQR) or n (%)</w:t>
            </w:r>
          </w:p>
        </w:tc>
        <w:tc>
          <w:tcPr>
            <w:tcW w:w="1058" w:type="pct"/>
            <w:tcBorders>
              <w:top w:val="single" w:sz="12" w:space="0" w:color="auto"/>
              <w:bottom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MIDCAB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(n = 26)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i/>
                <w:sz w:val="22"/>
                <w:szCs w:val="22"/>
                <w:lang w:val="en-GB"/>
              </w:rPr>
              <w:t>mean ± SD or median (IQR) or n (%)</w:t>
            </w:r>
          </w:p>
        </w:tc>
      </w:tr>
      <w:tr w:rsidR="00F43B13" w:rsidRPr="00B60243" w:rsidTr="008E4076">
        <w:tc>
          <w:tcPr>
            <w:tcW w:w="1824" w:type="pct"/>
            <w:tcBorders>
              <w:top w:val="single" w:sz="4" w:space="0" w:color="auto"/>
            </w:tcBorders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Access route</w:t>
            </w:r>
          </w:p>
        </w:tc>
        <w:tc>
          <w:tcPr>
            <w:tcW w:w="1059" w:type="pct"/>
            <w:tcBorders>
              <w:top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058" w:type="pct"/>
            <w:tcBorders>
              <w:top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Transfemoral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Transapical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29 (58.0)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 (16.7)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25 (96.2)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Transaortic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21 (42.0)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20 (83.3)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(3.8)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Prosthesis diameter (mm)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26.1 ± 2.1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26 (26–29)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25.6 ± 2.4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23 (21.25-25)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 xml:space="preserve">24.0 ± 2.0 </w:t>
            </w:r>
          </w:p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24 (22-26)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Total intervention time (min)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175 (146–231)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203 (171.25-251)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151.5 (131.25-186.25)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0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Total length of hospital stay (d)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11.0 (7.0–20.0)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14.0 (7.0-24.0)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10.0 (7.0-17.0)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Length of ICU stay (d)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1.0 (1.0–4.0)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1.0 (1.0-5.0)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1.0 (1.0-4.0)</w:t>
            </w:r>
          </w:p>
        </w:tc>
      </w:tr>
      <w:tr w:rsidR="00F43B13" w:rsidRPr="00B60243" w:rsidTr="008E4076">
        <w:tc>
          <w:tcPr>
            <w:tcW w:w="1824" w:type="pct"/>
            <w:tcBorders>
              <w:bottom w:val="single" w:sz="4" w:space="0" w:color="auto"/>
            </w:tcBorders>
          </w:tcPr>
          <w:p w:rsidR="00F43B13" w:rsidRPr="00B60243" w:rsidRDefault="00F43B13" w:rsidP="008E4076">
            <w:pPr>
              <w:tabs>
                <w:tab w:val="left" w:pos="0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Erythrocyte packs/patient</w:t>
            </w:r>
          </w:p>
        </w:tc>
        <w:tc>
          <w:tcPr>
            <w:tcW w:w="1059" w:type="pct"/>
            <w:tcBorders>
              <w:bottom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3.6 ± 4.29</w:t>
            </w:r>
          </w:p>
        </w:tc>
        <w:tc>
          <w:tcPr>
            <w:tcW w:w="1059" w:type="pct"/>
            <w:tcBorders>
              <w:bottom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3.7 ± 4.2</w:t>
            </w:r>
          </w:p>
        </w:tc>
        <w:tc>
          <w:tcPr>
            <w:tcW w:w="1059" w:type="pct"/>
            <w:tcBorders>
              <w:bottom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 xml:space="preserve">3.5 ± 4.3 </w:t>
            </w:r>
          </w:p>
        </w:tc>
      </w:tr>
      <w:tr w:rsidR="00F43B13" w:rsidRPr="00B60243" w:rsidTr="008E4076">
        <w:tc>
          <w:tcPr>
            <w:tcW w:w="1822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Intra-operative mortality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Intra-operative resuscitation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(4.0)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(7.7)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Myocardial infarction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(2.0)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(3.8)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-142"/>
              </w:tabs>
              <w:spacing w:after="120"/>
              <w:ind w:left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CK-MB (U/l)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47.2 ± 81.8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31.9 ± 28.6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60.7 ±  108.3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Stroke/TIA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(2.0)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(4.2)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Conversion to open surgery</w:t>
            </w:r>
            <w:r w:rsidRPr="00B60243">
              <w:rPr>
                <w:rFonts w:cs="Times New Roman"/>
                <w:sz w:val="22"/>
                <w:szCs w:val="22"/>
                <w:vertAlign w:val="superscript"/>
                <w:lang w:val="en-GB"/>
              </w:rPr>
              <w:t>†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(4.0)*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(7.7)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Re-thoracotomy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 (10.0)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 (12.5)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(7.7)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Pericardial tamponade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(2.0)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(4.2)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</w:tr>
      <w:tr w:rsidR="00F43B13" w:rsidRPr="00B60243" w:rsidTr="008E4076">
        <w:tc>
          <w:tcPr>
            <w:tcW w:w="1824" w:type="pct"/>
            <w:tcBorders>
              <w:bottom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ind w:left="284" w:hanging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AKI stage II/III</w:t>
            </w:r>
          </w:p>
        </w:tc>
        <w:tc>
          <w:tcPr>
            <w:tcW w:w="1059" w:type="pct"/>
            <w:tcBorders>
              <w:bottom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 (10.0)</w:t>
            </w:r>
          </w:p>
        </w:tc>
        <w:tc>
          <w:tcPr>
            <w:tcW w:w="1059" w:type="pct"/>
            <w:tcBorders>
              <w:bottom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 (12.5)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(7.7)</w:t>
            </w:r>
          </w:p>
        </w:tc>
      </w:tr>
      <w:tr w:rsidR="00F43B13" w:rsidRPr="00B60243" w:rsidTr="008E4076">
        <w:tc>
          <w:tcPr>
            <w:tcW w:w="1824" w:type="pct"/>
            <w:tcBorders>
              <w:top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Post-op. resuscitation (30d)</w:t>
            </w:r>
          </w:p>
        </w:tc>
        <w:tc>
          <w:tcPr>
            <w:tcW w:w="1059" w:type="pct"/>
            <w:tcBorders>
              <w:top w:val="single" w:sz="4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 (10.0)</w:t>
            </w: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(8.3)</w:t>
            </w:r>
          </w:p>
        </w:tc>
        <w:tc>
          <w:tcPr>
            <w:tcW w:w="1058" w:type="pct"/>
            <w:tcBorders>
              <w:top w:val="single" w:sz="4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 (11.5)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Post-operative dialysis (30d)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 (10.0)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(8.3)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 (11.5)</w:t>
            </w:r>
          </w:p>
        </w:tc>
      </w:tr>
      <w:tr w:rsidR="00F43B13" w:rsidRPr="00B60243" w:rsidTr="008E4076">
        <w:tc>
          <w:tcPr>
            <w:tcW w:w="1824" w:type="pct"/>
            <w:shd w:val="clear" w:color="auto" w:fill="auto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Permanent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(4.0)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(7.7)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Post-operative AF (30d)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 (6.0)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(8.3)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(3.8)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Post-operative PPI (30d)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(2.0)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(3.8)</w:t>
            </w:r>
          </w:p>
        </w:tc>
      </w:tr>
      <w:tr w:rsidR="00F43B13" w:rsidRPr="00B60243" w:rsidTr="008E4076">
        <w:tc>
          <w:tcPr>
            <w:tcW w:w="1824" w:type="pct"/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In-hospital mortality</w:t>
            </w:r>
          </w:p>
        </w:tc>
        <w:tc>
          <w:tcPr>
            <w:tcW w:w="1059" w:type="pct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9 (18.0)</w:t>
            </w:r>
          </w:p>
        </w:tc>
        <w:tc>
          <w:tcPr>
            <w:tcW w:w="1059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 (16.7)</w:t>
            </w:r>
          </w:p>
        </w:tc>
        <w:tc>
          <w:tcPr>
            <w:tcW w:w="1058" w:type="pct"/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 (19.2)</w:t>
            </w:r>
          </w:p>
        </w:tc>
      </w:tr>
      <w:tr w:rsidR="00F43B13" w:rsidRPr="00B60243" w:rsidTr="008E4076">
        <w:tc>
          <w:tcPr>
            <w:tcW w:w="1824" w:type="pct"/>
            <w:tcBorders>
              <w:bottom w:val="single" w:sz="12" w:space="0" w:color="auto"/>
            </w:tcBorders>
          </w:tcPr>
          <w:p w:rsidR="00F43B13" w:rsidRPr="00B60243" w:rsidRDefault="00F43B13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30d overall mortality</w:t>
            </w:r>
          </w:p>
        </w:tc>
        <w:tc>
          <w:tcPr>
            <w:tcW w:w="1059" w:type="pct"/>
            <w:tcBorders>
              <w:bottom w:val="single" w:sz="12" w:space="0" w:color="auto"/>
            </w:tcBorders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 (16.0)</w:t>
            </w:r>
          </w:p>
        </w:tc>
        <w:tc>
          <w:tcPr>
            <w:tcW w:w="1059" w:type="pct"/>
            <w:tcBorders>
              <w:bottom w:val="single" w:sz="12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 (16.7)</w:t>
            </w:r>
          </w:p>
        </w:tc>
        <w:tc>
          <w:tcPr>
            <w:tcW w:w="1058" w:type="pct"/>
            <w:tcBorders>
              <w:bottom w:val="single" w:sz="12" w:space="0" w:color="auto"/>
            </w:tcBorders>
            <w:shd w:val="clear" w:color="auto" w:fill="auto"/>
          </w:tcPr>
          <w:p w:rsidR="00F43B13" w:rsidRPr="00B60243" w:rsidRDefault="00F43B13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 (15.4)</w:t>
            </w:r>
          </w:p>
        </w:tc>
      </w:tr>
    </w:tbl>
    <w:p w:rsidR="00F43B13" w:rsidRPr="00B60243" w:rsidRDefault="00F43B13" w:rsidP="00F43B13">
      <w:pPr>
        <w:spacing w:after="120" w:line="360" w:lineRule="auto"/>
        <w:rPr>
          <w:rFonts w:cs="Times New Roman"/>
          <w:lang w:val="en-GB"/>
        </w:rPr>
      </w:pPr>
      <w:r w:rsidRPr="00B60243">
        <w:rPr>
          <w:rFonts w:cs="Times New Roman"/>
          <w:i/>
          <w:lang w:val="en-GB"/>
        </w:rPr>
        <w:lastRenderedPageBreak/>
        <w:t>Legend:</w:t>
      </w:r>
      <w:r w:rsidRPr="00B60243">
        <w:rPr>
          <w:rFonts w:cs="Times New Roman"/>
          <w:lang w:val="en-GB"/>
        </w:rPr>
        <w:t xml:space="preserve"> </w:t>
      </w:r>
      <w:r w:rsidRPr="00B60243">
        <w:rPr>
          <w:rFonts w:cs="Times New Roman"/>
          <w:vertAlign w:val="superscript"/>
          <w:lang w:val="en-GB"/>
        </w:rPr>
        <w:t>†</w:t>
      </w:r>
      <w:r w:rsidRPr="00B60243">
        <w:rPr>
          <w:rFonts w:cs="Times New Roman"/>
          <w:lang w:val="en-GB"/>
        </w:rPr>
        <w:t xml:space="preserve">Conversion to open surgery was defined as sternotomy and change to SAVR with a heart-lung-machine </w:t>
      </w: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B13"/>
    <w:rsid w:val="000952F6"/>
    <w:rsid w:val="003E0DE0"/>
    <w:rsid w:val="00415C0C"/>
    <w:rsid w:val="005136CC"/>
    <w:rsid w:val="008E4CB0"/>
    <w:rsid w:val="009A78C3"/>
    <w:rsid w:val="00B82AEF"/>
    <w:rsid w:val="00BD0CE8"/>
    <w:rsid w:val="00D047BC"/>
    <w:rsid w:val="00DD29B8"/>
    <w:rsid w:val="00EE0E39"/>
    <w:rsid w:val="00F4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F43B13"/>
    <w:rPr>
      <w:rFonts w:ascii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F43B13"/>
    <w:rPr>
      <w:rFonts w:ascii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1411</Characters>
  <Application>Microsoft Office Word</Application>
  <DocSecurity>0</DocSecurity>
  <Lines>45</Lines>
  <Paragraphs>31</Paragraphs>
  <ScaleCrop>false</ScaleCrop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2019-04-24T14:10:00Z</dcterms:created>
  <dcterms:modified xsi:type="dcterms:W3CDTF">2019-04-24T14:10:00Z</dcterms:modified>
</cp:coreProperties>
</file>