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484" w:rsidRPr="00384B92" w:rsidRDefault="00666484" w:rsidP="00666484">
      <w:pPr>
        <w:widowControl w:val="0"/>
        <w:spacing w:after="0" w:line="360" w:lineRule="auto"/>
        <w:rPr>
          <w:rFonts w:ascii="Times New Roman" w:hAnsi="Times New Roman"/>
          <w:color w:val="000000" w:themeColor="text1"/>
          <w:szCs w:val="24"/>
          <w:lang w:val="en-US"/>
        </w:rPr>
      </w:pPr>
      <w:proofErr w:type="gramStart"/>
      <w:r>
        <w:rPr>
          <w:rFonts w:ascii="Times New Roman" w:hAnsi="Times New Roman"/>
          <w:color w:val="000000" w:themeColor="text1"/>
          <w:szCs w:val="24"/>
        </w:rPr>
        <w:t>Supplementary table 2</w:t>
      </w:r>
      <w:r w:rsidRPr="00384B92">
        <w:rPr>
          <w:rFonts w:ascii="Times New Roman" w:hAnsi="Times New Roman"/>
          <w:color w:val="000000" w:themeColor="text1"/>
          <w:szCs w:val="24"/>
          <w:lang w:val="en-US"/>
        </w:rPr>
        <w:t>.</w:t>
      </w:r>
      <w:proofErr w:type="gramEnd"/>
      <w:r w:rsidRPr="00384B92">
        <w:rPr>
          <w:rFonts w:ascii="Times New Roman" w:hAnsi="Times New Roman"/>
          <w:color w:val="000000" w:themeColor="text1"/>
          <w:szCs w:val="24"/>
          <w:lang w:val="en-US"/>
        </w:rPr>
        <w:t xml:space="preserve"> Association between fatty liver index and new-onset heart failure</w:t>
      </w:r>
    </w:p>
    <w:p w:rsidR="00666484" w:rsidRPr="00384B92" w:rsidRDefault="00666484" w:rsidP="00666484">
      <w:pPr>
        <w:widowControl w:val="0"/>
        <w:spacing w:after="0" w:line="360" w:lineRule="auto"/>
        <w:rPr>
          <w:rFonts w:ascii="Times New Roman" w:hAnsi="Times New Roman"/>
          <w:color w:val="000000" w:themeColor="text1"/>
          <w:szCs w:val="24"/>
          <w:lang w:val="en-US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1081"/>
        <w:gridCol w:w="773"/>
        <w:gridCol w:w="930"/>
        <w:gridCol w:w="909"/>
        <w:gridCol w:w="658"/>
        <w:gridCol w:w="697"/>
        <w:gridCol w:w="909"/>
        <w:gridCol w:w="658"/>
        <w:gridCol w:w="697"/>
        <w:gridCol w:w="909"/>
        <w:gridCol w:w="658"/>
        <w:gridCol w:w="697"/>
      </w:tblGrid>
      <w:tr w:rsidR="00666484" w:rsidRPr="00384B92" w:rsidTr="00932156">
        <w:tc>
          <w:tcPr>
            <w:tcW w:w="624" w:type="pct"/>
            <w:vMerge w:val="restart"/>
            <w:shd w:val="clear" w:color="auto" w:fill="auto"/>
            <w:vAlign w:val="center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eastAsia="Malgun Gothic" w:hAnsi="Times New Roman"/>
                <w:color w:val="000000" w:themeColor="text1"/>
                <w:szCs w:val="20"/>
              </w:rPr>
              <w:t xml:space="preserve">FLI </w:t>
            </w:r>
          </w:p>
        </w:tc>
        <w:tc>
          <w:tcPr>
            <w:tcW w:w="334" w:type="pct"/>
            <w:vMerge w:val="restart"/>
            <w:shd w:val="clear" w:color="auto" w:fill="auto"/>
            <w:vAlign w:val="center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eastAsia="Malgun Gothic" w:hAnsi="Times New Roman"/>
                <w:color w:val="000000" w:themeColor="text1"/>
                <w:szCs w:val="20"/>
              </w:rPr>
              <w:t>N.</w:t>
            </w:r>
          </w:p>
        </w:tc>
        <w:tc>
          <w:tcPr>
            <w:tcW w:w="580" w:type="pct"/>
            <w:vMerge w:val="restart"/>
            <w:shd w:val="clear" w:color="auto" w:fill="auto"/>
            <w:vAlign w:val="center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New-onset HF</w:t>
            </w:r>
          </w:p>
        </w:tc>
        <w:tc>
          <w:tcPr>
            <w:tcW w:w="1154" w:type="pct"/>
            <w:gridSpan w:val="3"/>
            <w:shd w:val="clear" w:color="auto" w:fill="auto"/>
            <w:vAlign w:val="center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Univariate</w:t>
            </w:r>
          </w:p>
        </w:tc>
        <w:tc>
          <w:tcPr>
            <w:tcW w:w="1155" w:type="pct"/>
            <w:gridSpan w:val="3"/>
            <w:shd w:val="clear" w:color="auto" w:fill="auto"/>
            <w:vAlign w:val="center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Model 1*</w:t>
            </w:r>
          </w:p>
        </w:tc>
        <w:tc>
          <w:tcPr>
            <w:tcW w:w="1154" w:type="pct"/>
            <w:gridSpan w:val="3"/>
            <w:shd w:val="clear" w:color="auto" w:fill="auto"/>
            <w:vAlign w:val="center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Model 2</w:t>
            </w:r>
            <w:r w:rsidRPr="00384B92">
              <w:rPr>
                <w:rFonts w:ascii="Times New Roman" w:eastAsia="Malgun Gothic" w:hAnsi="Times New Roman"/>
                <w:color w:val="000000" w:themeColor="text1"/>
                <w:sz w:val="24"/>
                <w:vertAlign w:val="superscript"/>
              </w:rPr>
              <w:t>†</w:t>
            </w:r>
          </w:p>
        </w:tc>
      </w:tr>
      <w:tr w:rsidR="00666484" w:rsidRPr="00384B92" w:rsidTr="00932156">
        <w:tc>
          <w:tcPr>
            <w:tcW w:w="624" w:type="pct"/>
            <w:vMerge/>
            <w:shd w:val="clear" w:color="auto" w:fill="auto"/>
            <w:vAlign w:val="center"/>
          </w:tcPr>
          <w:p w:rsidR="00666484" w:rsidRPr="00384B92" w:rsidRDefault="00666484" w:rsidP="00932156">
            <w:pPr>
              <w:widowControl w:val="0"/>
              <w:spacing w:line="360" w:lineRule="auto"/>
              <w:jc w:val="left"/>
              <w:rPr>
                <w:rFonts w:ascii="Times New Roman" w:eastAsia="Malgun Gothic" w:hAnsi="Times New Roman"/>
                <w:color w:val="000000" w:themeColor="text1"/>
                <w:szCs w:val="20"/>
              </w:rPr>
            </w:pPr>
          </w:p>
        </w:tc>
        <w:tc>
          <w:tcPr>
            <w:tcW w:w="334" w:type="pct"/>
            <w:vMerge/>
            <w:shd w:val="clear" w:color="auto" w:fill="auto"/>
            <w:vAlign w:val="center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eastAsia="Malgun Gothic" w:hAnsi="Times New Roman"/>
                <w:color w:val="000000" w:themeColor="text1"/>
                <w:szCs w:val="20"/>
              </w:rPr>
            </w:pPr>
          </w:p>
        </w:tc>
        <w:tc>
          <w:tcPr>
            <w:tcW w:w="580" w:type="pct"/>
            <w:vMerge/>
            <w:shd w:val="clear" w:color="auto" w:fill="auto"/>
            <w:vAlign w:val="center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HR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95% CI</w:t>
            </w:r>
          </w:p>
        </w:tc>
        <w:tc>
          <w:tcPr>
            <w:tcW w:w="341" w:type="pct"/>
            <w:shd w:val="clear" w:color="auto" w:fill="auto"/>
            <w:vAlign w:val="center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hAnsi="Times New Roman" w:hint="eastAsia"/>
                <w:color w:val="000000" w:themeColor="text1"/>
                <w:szCs w:val="20"/>
              </w:rPr>
              <w:t>P</w:t>
            </w: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-value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HR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95% CI</w:t>
            </w:r>
          </w:p>
        </w:tc>
        <w:tc>
          <w:tcPr>
            <w:tcW w:w="341" w:type="pct"/>
            <w:shd w:val="clear" w:color="auto" w:fill="auto"/>
            <w:vAlign w:val="center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hAnsi="Times New Roman" w:hint="eastAsia"/>
                <w:color w:val="000000" w:themeColor="text1"/>
                <w:szCs w:val="20"/>
              </w:rPr>
              <w:t>P</w:t>
            </w: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-value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HR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95% CI</w:t>
            </w:r>
          </w:p>
        </w:tc>
        <w:tc>
          <w:tcPr>
            <w:tcW w:w="341" w:type="pct"/>
            <w:shd w:val="clear" w:color="auto" w:fill="auto"/>
            <w:vAlign w:val="center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hAnsi="Times New Roman" w:hint="eastAsia"/>
                <w:color w:val="000000" w:themeColor="text1"/>
                <w:szCs w:val="20"/>
              </w:rPr>
              <w:t>P</w:t>
            </w: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-value</w:t>
            </w:r>
          </w:p>
        </w:tc>
      </w:tr>
      <w:tr w:rsidR="00666484" w:rsidRPr="00384B92" w:rsidTr="00932156">
        <w:tc>
          <w:tcPr>
            <w:tcW w:w="624" w:type="pct"/>
            <w:shd w:val="clear" w:color="auto" w:fill="auto"/>
            <w:vAlign w:val="center"/>
          </w:tcPr>
          <w:p w:rsidR="00666484" w:rsidRPr="00384B92" w:rsidRDefault="00666484" w:rsidP="00932156">
            <w:pPr>
              <w:widowControl w:val="0"/>
              <w:spacing w:line="360" w:lineRule="auto"/>
              <w:jc w:val="left"/>
              <w:rPr>
                <w:rFonts w:ascii="Times New Roman" w:eastAsia="Malgun Gothic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eastAsia="Malgun Gothic" w:hAnsi="Times New Roman" w:hint="eastAsia"/>
                <w:color w:val="000000" w:themeColor="text1"/>
                <w:szCs w:val="20"/>
              </w:rPr>
              <w:t>F</w:t>
            </w:r>
            <w:r w:rsidRPr="00384B92">
              <w:rPr>
                <w:rFonts w:ascii="Times New Roman" w:eastAsia="Malgun Gothic" w:hAnsi="Times New Roman"/>
                <w:color w:val="000000" w:themeColor="text1"/>
                <w:szCs w:val="20"/>
              </w:rPr>
              <w:t xml:space="preserve">LI </w:t>
            </w: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criteria</w:t>
            </w:r>
            <w:r w:rsidRPr="00384B92">
              <w:rPr>
                <w:rFonts w:ascii="Times New Roman" w:eastAsia="Malgun Gothic" w:hAnsi="Times New Roman"/>
                <w:color w:val="000000" w:themeColor="text1"/>
                <w:szCs w:val="20"/>
              </w:rPr>
              <w:t xml:space="preserve"> 1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eastAsia="Malgun Gothic" w:hAnsi="Times New Roman"/>
                <w:color w:val="000000" w:themeColor="text1"/>
                <w:szCs w:val="20"/>
              </w:rPr>
            </w:pPr>
          </w:p>
        </w:tc>
        <w:tc>
          <w:tcPr>
            <w:tcW w:w="580" w:type="pct"/>
            <w:shd w:val="clear" w:color="auto" w:fill="auto"/>
            <w:vAlign w:val="center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eastAsia="Malgun Gothic" w:hAnsi="Times New Roman"/>
                <w:color w:val="000000" w:themeColor="text1"/>
                <w:szCs w:val="20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eastAsia="Malgun Gothic" w:hAnsi="Times New Roman"/>
                <w:color w:val="000000" w:themeColor="text1"/>
                <w:szCs w:val="20"/>
              </w:rPr>
            </w:pPr>
          </w:p>
        </w:tc>
        <w:tc>
          <w:tcPr>
            <w:tcW w:w="440" w:type="pct"/>
            <w:shd w:val="clear" w:color="auto" w:fill="auto"/>
            <w:vAlign w:val="center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eastAsia="Malgun Gothic" w:hAnsi="Times New Roman"/>
                <w:color w:val="000000" w:themeColor="text1"/>
                <w:szCs w:val="20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0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eastAsia="Malgun Gothic" w:hAnsi="Times New Roman"/>
                <w:color w:val="000000" w:themeColor="text1"/>
                <w:szCs w:val="20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eastAsia="Malgun Gothic" w:hAnsi="Times New Roman"/>
                <w:color w:val="000000" w:themeColor="text1"/>
                <w:szCs w:val="20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0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eastAsia="Malgun Gothic" w:hAnsi="Times New Roman"/>
                <w:color w:val="000000" w:themeColor="text1"/>
                <w:szCs w:val="20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eastAsia="Malgun Gothic" w:hAnsi="Times New Roman"/>
                <w:color w:val="000000" w:themeColor="text1"/>
                <w:szCs w:val="20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0"/>
              </w:rPr>
            </w:pPr>
          </w:p>
        </w:tc>
      </w:tr>
      <w:tr w:rsidR="00666484" w:rsidRPr="00384B92" w:rsidTr="00932156">
        <w:tc>
          <w:tcPr>
            <w:tcW w:w="624" w:type="pct"/>
            <w:shd w:val="clear" w:color="auto" w:fill="auto"/>
            <w:vAlign w:val="center"/>
          </w:tcPr>
          <w:p w:rsidR="00666484" w:rsidRPr="00384B92" w:rsidRDefault="00666484" w:rsidP="00932156">
            <w:pPr>
              <w:widowControl w:val="0"/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0 ≤ FLI &lt; 30</w:t>
            </w:r>
          </w:p>
        </w:tc>
        <w:tc>
          <w:tcPr>
            <w:tcW w:w="334" w:type="pct"/>
            <w:shd w:val="clear" w:color="auto" w:fill="auto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228,136</w:t>
            </w:r>
          </w:p>
        </w:tc>
        <w:tc>
          <w:tcPr>
            <w:tcW w:w="580" w:type="pct"/>
            <w:shd w:val="clear" w:color="auto" w:fill="auto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1,608(0.7)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R</w:t>
            </w:r>
            <w:r w:rsidRPr="00384B92">
              <w:rPr>
                <w:rFonts w:ascii="Times New Roman" w:hAnsi="Times New Roman" w:hint="eastAsia"/>
                <w:color w:val="000000" w:themeColor="text1"/>
                <w:szCs w:val="20"/>
              </w:rPr>
              <w:t>ef</w:t>
            </w: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erence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R</w:t>
            </w:r>
            <w:r w:rsidRPr="00384B92">
              <w:rPr>
                <w:rFonts w:ascii="Times New Roman" w:hAnsi="Times New Roman" w:hint="eastAsia"/>
                <w:color w:val="000000" w:themeColor="text1"/>
                <w:szCs w:val="20"/>
              </w:rPr>
              <w:t>ef</w:t>
            </w: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erence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R</w:t>
            </w:r>
            <w:r w:rsidRPr="00384B92">
              <w:rPr>
                <w:rFonts w:ascii="Times New Roman" w:hAnsi="Times New Roman" w:hint="eastAsia"/>
                <w:color w:val="000000" w:themeColor="text1"/>
                <w:szCs w:val="20"/>
              </w:rPr>
              <w:t>ef</w:t>
            </w: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erence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</w:tc>
      </w:tr>
      <w:tr w:rsidR="00666484" w:rsidRPr="00384B92" w:rsidTr="00932156">
        <w:tc>
          <w:tcPr>
            <w:tcW w:w="624" w:type="pct"/>
            <w:shd w:val="clear" w:color="auto" w:fill="auto"/>
            <w:vAlign w:val="center"/>
          </w:tcPr>
          <w:p w:rsidR="00666484" w:rsidRPr="00384B92" w:rsidRDefault="00666484" w:rsidP="00932156">
            <w:pPr>
              <w:widowControl w:val="0"/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30 ≤ FLI &lt; 60</w:t>
            </w:r>
          </w:p>
        </w:tc>
        <w:tc>
          <w:tcPr>
            <w:tcW w:w="334" w:type="pct"/>
            <w:shd w:val="clear" w:color="auto" w:fill="auto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54,563</w:t>
            </w:r>
          </w:p>
        </w:tc>
        <w:tc>
          <w:tcPr>
            <w:tcW w:w="580" w:type="pct"/>
            <w:shd w:val="clear" w:color="auto" w:fill="auto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614(1.1)</w:t>
            </w:r>
          </w:p>
        </w:tc>
        <w:tc>
          <w:tcPr>
            <w:tcW w:w="372" w:type="pct"/>
            <w:shd w:val="clear" w:color="auto" w:fill="auto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1.538</w:t>
            </w:r>
          </w:p>
        </w:tc>
        <w:tc>
          <w:tcPr>
            <w:tcW w:w="440" w:type="pct"/>
            <w:shd w:val="clear" w:color="auto" w:fill="auto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1.402-1.688</w:t>
            </w:r>
          </w:p>
        </w:tc>
        <w:tc>
          <w:tcPr>
            <w:tcW w:w="341" w:type="pct"/>
            <w:shd w:val="clear" w:color="auto" w:fill="auto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&lt;0.001</w:t>
            </w:r>
          </w:p>
        </w:tc>
        <w:tc>
          <w:tcPr>
            <w:tcW w:w="372" w:type="pct"/>
            <w:shd w:val="clear" w:color="auto" w:fill="auto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1.376</w:t>
            </w:r>
          </w:p>
        </w:tc>
        <w:tc>
          <w:tcPr>
            <w:tcW w:w="442" w:type="pct"/>
            <w:shd w:val="clear" w:color="auto" w:fill="auto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1.250-1.514</w:t>
            </w:r>
          </w:p>
        </w:tc>
        <w:tc>
          <w:tcPr>
            <w:tcW w:w="341" w:type="pct"/>
            <w:shd w:val="clear" w:color="auto" w:fill="auto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&lt;0.001</w:t>
            </w:r>
          </w:p>
        </w:tc>
        <w:tc>
          <w:tcPr>
            <w:tcW w:w="372" w:type="pct"/>
            <w:shd w:val="clear" w:color="auto" w:fill="auto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1.320</w:t>
            </w:r>
          </w:p>
        </w:tc>
        <w:tc>
          <w:tcPr>
            <w:tcW w:w="441" w:type="pct"/>
            <w:shd w:val="clear" w:color="auto" w:fill="auto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1.198-1.453</w:t>
            </w:r>
          </w:p>
        </w:tc>
        <w:tc>
          <w:tcPr>
            <w:tcW w:w="341" w:type="pct"/>
            <w:shd w:val="clear" w:color="auto" w:fill="auto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&lt;0.001</w:t>
            </w:r>
          </w:p>
        </w:tc>
      </w:tr>
      <w:tr w:rsidR="00666484" w:rsidRPr="00384B92" w:rsidTr="00932156">
        <w:tc>
          <w:tcPr>
            <w:tcW w:w="624" w:type="pct"/>
            <w:shd w:val="clear" w:color="auto" w:fill="auto"/>
            <w:vAlign w:val="center"/>
          </w:tcPr>
          <w:p w:rsidR="00666484" w:rsidRPr="00384B92" w:rsidRDefault="00666484" w:rsidP="00932156">
            <w:pPr>
              <w:widowControl w:val="0"/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FLI ≥ 60</w:t>
            </w:r>
          </w:p>
        </w:tc>
        <w:tc>
          <w:tcPr>
            <w:tcW w:w="334" w:type="pct"/>
            <w:shd w:val="clear" w:color="auto" w:fill="auto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25,879</w:t>
            </w:r>
          </w:p>
        </w:tc>
        <w:tc>
          <w:tcPr>
            <w:tcW w:w="580" w:type="pct"/>
            <w:shd w:val="clear" w:color="auto" w:fill="auto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310(1.2)</w:t>
            </w:r>
          </w:p>
        </w:tc>
        <w:tc>
          <w:tcPr>
            <w:tcW w:w="372" w:type="pct"/>
            <w:shd w:val="clear" w:color="auto" w:fill="auto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1.669</w:t>
            </w:r>
          </w:p>
        </w:tc>
        <w:tc>
          <w:tcPr>
            <w:tcW w:w="440" w:type="pct"/>
            <w:shd w:val="clear" w:color="auto" w:fill="auto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1.478-1.885</w:t>
            </w:r>
          </w:p>
        </w:tc>
        <w:tc>
          <w:tcPr>
            <w:tcW w:w="341" w:type="pct"/>
            <w:shd w:val="clear" w:color="auto" w:fill="auto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&lt;0.001</w:t>
            </w:r>
          </w:p>
        </w:tc>
        <w:tc>
          <w:tcPr>
            <w:tcW w:w="372" w:type="pct"/>
            <w:shd w:val="clear" w:color="auto" w:fill="auto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1.961</w:t>
            </w:r>
          </w:p>
        </w:tc>
        <w:tc>
          <w:tcPr>
            <w:tcW w:w="442" w:type="pct"/>
            <w:shd w:val="clear" w:color="auto" w:fill="auto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1.727-2.227</w:t>
            </w:r>
          </w:p>
        </w:tc>
        <w:tc>
          <w:tcPr>
            <w:tcW w:w="341" w:type="pct"/>
            <w:shd w:val="clear" w:color="auto" w:fill="auto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&lt;0.001</w:t>
            </w:r>
          </w:p>
        </w:tc>
        <w:tc>
          <w:tcPr>
            <w:tcW w:w="372" w:type="pct"/>
            <w:shd w:val="clear" w:color="auto" w:fill="auto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1.849</w:t>
            </w:r>
          </w:p>
        </w:tc>
        <w:tc>
          <w:tcPr>
            <w:tcW w:w="441" w:type="pct"/>
            <w:shd w:val="clear" w:color="auto" w:fill="auto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1.622-2.106</w:t>
            </w:r>
          </w:p>
        </w:tc>
        <w:tc>
          <w:tcPr>
            <w:tcW w:w="341" w:type="pct"/>
            <w:shd w:val="clear" w:color="auto" w:fill="auto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&lt;0.001</w:t>
            </w:r>
          </w:p>
        </w:tc>
      </w:tr>
      <w:tr w:rsidR="00666484" w:rsidRPr="00384B92" w:rsidTr="00932156">
        <w:tc>
          <w:tcPr>
            <w:tcW w:w="624" w:type="pct"/>
            <w:shd w:val="clear" w:color="auto" w:fill="auto"/>
            <w:vAlign w:val="center"/>
          </w:tcPr>
          <w:p w:rsidR="00666484" w:rsidRPr="00384B92" w:rsidRDefault="00666484" w:rsidP="00932156">
            <w:pPr>
              <w:widowControl w:val="0"/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FLI criteria 2‡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</w:tc>
        <w:tc>
          <w:tcPr>
            <w:tcW w:w="580" w:type="pct"/>
            <w:shd w:val="clear" w:color="auto" w:fill="auto"/>
            <w:vAlign w:val="center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</w:tc>
        <w:tc>
          <w:tcPr>
            <w:tcW w:w="440" w:type="pct"/>
            <w:shd w:val="clear" w:color="auto" w:fill="auto"/>
            <w:vAlign w:val="center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</w:tc>
      </w:tr>
      <w:tr w:rsidR="00666484" w:rsidRPr="00384B92" w:rsidTr="00932156">
        <w:tc>
          <w:tcPr>
            <w:tcW w:w="624" w:type="pct"/>
            <w:shd w:val="clear" w:color="auto" w:fill="auto"/>
            <w:vAlign w:val="center"/>
          </w:tcPr>
          <w:p w:rsidR="00666484" w:rsidRPr="00384B92" w:rsidRDefault="00666484" w:rsidP="00932156">
            <w:pPr>
              <w:widowControl w:val="0"/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Low probability</w:t>
            </w:r>
          </w:p>
        </w:tc>
        <w:tc>
          <w:tcPr>
            <w:tcW w:w="334" w:type="pct"/>
            <w:shd w:val="clear" w:color="auto" w:fill="auto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178,464</w:t>
            </w:r>
          </w:p>
        </w:tc>
        <w:tc>
          <w:tcPr>
            <w:tcW w:w="580" w:type="pct"/>
            <w:shd w:val="clear" w:color="auto" w:fill="auto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10,20(0.6)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R</w:t>
            </w:r>
            <w:r w:rsidRPr="00384B92">
              <w:rPr>
                <w:rFonts w:ascii="Times New Roman" w:hAnsi="Times New Roman" w:hint="eastAsia"/>
                <w:color w:val="000000" w:themeColor="text1"/>
                <w:szCs w:val="20"/>
              </w:rPr>
              <w:t>ef</w:t>
            </w: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erence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R</w:t>
            </w:r>
            <w:r w:rsidRPr="00384B92">
              <w:rPr>
                <w:rFonts w:ascii="Times New Roman" w:hAnsi="Times New Roman" w:hint="eastAsia"/>
                <w:color w:val="000000" w:themeColor="text1"/>
                <w:szCs w:val="20"/>
              </w:rPr>
              <w:t>ef</w:t>
            </w: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erence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R</w:t>
            </w:r>
            <w:r w:rsidRPr="00384B92">
              <w:rPr>
                <w:rFonts w:ascii="Times New Roman" w:hAnsi="Times New Roman" w:hint="eastAsia"/>
                <w:color w:val="000000" w:themeColor="text1"/>
                <w:szCs w:val="20"/>
              </w:rPr>
              <w:t>ef</w:t>
            </w: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erence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</w:tc>
      </w:tr>
      <w:tr w:rsidR="00666484" w:rsidRPr="00384B92" w:rsidTr="00932156">
        <w:tc>
          <w:tcPr>
            <w:tcW w:w="624" w:type="pct"/>
            <w:shd w:val="clear" w:color="auto" w:fill="auto"/>
            <w:vAlign w:val="center"/>
          </w:tcPr>
          <w:p w:rsidR="00666484" w:rsidRPr="00384B92" w:rsidRDefault="00666484" w:rsidP="00932156">
            <w:pPr>
              <w:widowControl w:val="0"/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Intermediate probability</w:t>
            </w:r>
          </w:p>
        </w:tc>
        <w:tc>
          <w:tcPr>
            <w:tcW w:w="334" w:type="pct"/>
            <w:shd w:val="clear" w:color="auto" w:fill="auto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46,892</w:t>
            </w:r>
          </w:p>
        </w:tc>
        <w:tc>
          <w:tcPr>
            <w:tcW w:w="580" w:type="pct"/>
            <w:shd w:val="clear" w:color="auto" w:fill="auto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480(1.0)</w:t>
            </w:r>
          </w:p>
        </w:tc>
        <w:tc>
          <w:tcPr>
            <w:tcW w:w="372" w:type="pct"/>
            <w:shd w:val="clear" w:color="auto" w:fill="auto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1.735</w:t>
            </w:r>
          </w:p>
        </w:tc>
        <w:tc>
          <w:tcPr>
            <w:tcW w:w="440" w:type="pct"/>
            <w:shd w:val="clear" w:color="auto" w:fill="auto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1.556-1.933</w:t>
            </w:r>
          </w:p>
        </w:tc>
        <w:tc>
          <w:tcPr>
            <w:tcW w:w="341" w:type="pct"/>
            <w:shd w:val="clear" w:color="auto" w:fill="auto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&lt;0.001</w:t>
            </w:r>
          </w:p>
        </w:tc>
        <w:tc>
          <w:tcPr>
            <w:tcW w:w="372" w:type="pct"/>
            <w:shd w:val="clear" w:color="auto" w:fill="auto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1.233</w:t>
            </w:r>
          </w:p>
        </w:tc>
        <w:tc>
          <w:tcPr>
            <w:tcW w:w="442" w:type="pct"/>
            <w:shd w:val="clear" w:color="auto" w:fill="auto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1.105-1.376</w:t>
            </w:r>
          </w:p>
        </w:tc>
        <w:tc>
          <w:tcPr>
            <w:tcW w:w="341" w:type="pct"/>
            <w:shd w:val="clear" w:color="auto" w:fill="auto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&lt;0.001</w:t>
            </w:r>
          </w:p>
        </w:tc>
        <w:tc>
          <w:tcPr>
            <w:tcW w:w="372" w:type="pct"/>
            <w:shd w:val="clear" w:color="auto" w:fill="auto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1.196</w:t>
            </w:r>
          </w:p>
        </w:tc>
        <w:tc>
          <w:tcPr>
            <w:tcW w:w="441" w:type="pct"/>
            <w:shd w:val="clear" w:color="auto" w:fill="auto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1.072-1.334</w:t>
            </w:r>
          </w:p>
        </w:tc>
        <w:tc>
          <w:tcPr>
            <w:tcW w:w="341" w:type="pct"/>
            <w:shd w:val="clear" w:color="auto" w:fill="auto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0.001</w:t>
            </w:r>
          </w:p>
        </w:tc>
      </w:tr>
      <w:tr w:rsidR="00666484" w:rsidRPr="00384B92" w:rsidTr="00932156">
        <w:tc>
          <w:tcPr>
            <w:tcW w:w="624" w:type="pct"/>
            <w:shd w:val="clear" w:color="auto" w:fill="auto"/>
            <w:vAlign w:val="center"/>
          </w:tcPr>
          <w:p w:rsidR="00666484" w:rsidRPr="00384B92" w:rsidRDefault="00666484" w:rsidP="00932156">
            <w:pPr>
              <w:widowControl w:val="0"/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High probability</w:t>
            </w:r>
          </w:p>
        </w:tc>
        <w:tc>
          <w:tcPr>
            <w:tcW w:w="334" w:type="pct"/>
            <w:shd w:val="clear" w:color="auto" w:fill="auto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83,222</w:t>
            </w:r>
          </w:p>
        </w:tc>
        <w:tc>
          <w:tcPr>
            <w:tcW w:w="580" w:type="pct"/>
            <w:shd w:val="clear" w:color="auto" w:fill="auto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1,032(1.2)</w:t>
            </w:r>
          </w:p>
        </w:tc>
        <w:tc>
          <w:tcPr>
            <w:tcW w:w="372" w:type="pct"/>
            <w:shd w:val="clear" w:color="auto" w:fill="auto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2.104</w:t>
            </w:r>
          </w:p>
        </w:tc>
        <w:tc>
          <w:tcPr>
            <w:tcW w:w="440" w:type="pct"/>
            <w:shd w:val="clear" w:color="auto" w:fill="auto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1.930-2.294</w:t>
            </w:r>
          </w:p>
        </w:tc>
        <w:tc>
          <w:tcPr>
            <w:tcW w:w="341" w:type="pct"/>
            <w:shd w:val="clear" w:color="auto" w:fill="auto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&lt;0.001</w:t>
            </w:r>
          </w:p>
        </w:tc>
        <w:tc>
          <w:tcPr>
            <w:tcW w:w="372" w:type="pct"/>
            <w:shd w:val="clear" w:color="auto" w:fill="auto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1.631</w:t>
            </w:r>
          </w:p>
        </w:tc>
        <w:tc>
          <w:tcPr>
            <w:tcW w:w="442" w:type="pct"/>
            <w:shd w:val="clear" w:color="auto" w:fill="auto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1.496-1.779</w:t>
            </w:r>
          </w:p>
        </w:tc>
        <w:tc>
          <w:tcPr>
            <w:tcW w:w="341" w:type="pct"/>
            <w:shd w:val="clear" w:color="auto" w:fill="auto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&lt;0.001</w:t>
            </w:r>
          </w:p>
        </w:tc>
        <w:tc>
          <w:tcPr>
            <w:tcW w:w="372" w:type="pct"/>
            <w:shd w:val="clear" w:color="auto" w:fill="auto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1.557</w:t>
            </w:r>
          </w:p>
        </w:tc>
        <w:tc>
          <w:tcPr>
            <w:tcW w:w="441" w:type="pct"/>
            <w:shd w:val="clear" w:color="auto" w:fill="auto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1.423-1.704</w:t>
            </w:r>
          </w:p>
        </w:tc>
        <w:tc>
          <w:tcPr>
            <w:tcW w:w="341" w:type="pct"/>
            <w:shd w:val="clear" w:color="auto" w:fill="auto"/>
          </w:tcPr>
          <w:p w:rsidR="00666484" w:rsidRPr="00384B92" w:rsidRDefault="00666484" w:rsidP="00932156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84B92">
              <w:rPr>
                <w:rFonts w:ascii="Times New Roman" w:hAnsi="Times New Roman"/>
                <w:color w:val="000000" w:themeColor="text1"/>
                <w:szCs w:val="20"/>
              </w:rPr>
              <w:t>&lt;0.001</w:t>
            </w:r>
          </w:p>
        </w:tc>
      </w:tr>
    </w:tbl>
    <w:p w:rsidR="00666484" w:rsidRPr="00384B92" w:rsidRDefault="00666484" w:rsidP="00666484">
      <w:pPr>
        <w:widowControl w:val="0"/>
        <w:spacing w:after="0" w:line="360" w:lineRule="auto"/>
        <w:rPr>
          <w:rFonts w:ascii="Times New Roman" w:hAnsi="Times New Roman"/>
          <w:color w:val="000000" w:themeColor="text1"/>
          <w:szCs w:val="24"/>
          <w:lang w:val="en-US"/>
        </w:rPr>
      </w:pPr>
      <w:r w:rsidRPr="00384B92">
        <w:rPr>
          <w:rFonts w:ascii="Times New Roman" w:hAnsi="Times New Roman"/>
          <w:color w:val="000000" w:themeColor="text1"/>
          <w:szCs w:val="24"/>
          <w:vertAlign w:val="superscript"/>
          <w:lang w:val="en-US"/>
        </w:rPr>
        <w:t>*</w:t>
      </w:r>
      <w:r w:rsidRPr="00384B92">
        <w:rPr>
          <w:rFonts w:ascii="Times New Roman" w:hAnsi="Times New Roman"/>
          <w:color w:val="000000" w:themeColor="text1"/>
          <w:szCs w:val="24"/>
          <w:lang w:val="en-US"/>
        </w:rPr>
        <w:t xml:space="preserve">Cox proportional hazard models including </w:t>
      </w:r>
      <w:proofErr w:type="gramStart"/>
      <w:r w:rsidRPr="00384B92">
        <w:rPr>
          <w:rFonts w:ascii="Times New Roman" w:hAnsi="Times New Roman"/>
          <w:color w:val="000000" w:themeColor="text1"/>
          <w:szCs w:val="24"/>
          <w:lang w:val="en-US"/>
        </w:rPr>
        <w:t>age,</w:t>
      </w:r>
      <w:proofErr w:type="gramEnd"/>
      <w:r w:rsidRPr="00384B92">
        <w:rPr>
          <w:rFonts w:ascii="Times New Roman" w:hAnsi="Times New Roman"/>
          <w:color w:val="000000" w:themeColor="text1"/>
          <w:szCs w:val="24"/>
          <w:lang w:val="en-US"/>
        </w:rPr>
        <w:t xml:space="preserve"> and sex as covariates</w:t>
      </w:r>
    </w:p>
    <w:p w:rsidR="00666484" w:rsidRPr="00384B92" w:rsidRDefault="00666484" w:rsidP="00666484">
      <w:pPr>
        <w:widowControl w:val="0"/>
        <w:spacing w:after="0" w:line="360" w:lineRule="auto"/>
        <w:rPr>
          <w:rFonts w:ascii="Times New Roman" w:hAnsi="Times New Roman"/>
          <w:color w:val="000000" w:themeColor="text1"/>
          <w:szCs w:val="24"/>
          <w:lang w:val="en-US"/>
        </w:rPr>
      </w:pPr>
      <w:r w:rsidRPr="00384B92">
        <w:rPr>
          <w:rFonts w:ascii="Times New Roman" w:hAnsi="Times New Roman"/>
          <w:color w:val="000000" w:themeColor="text1"/>
          <w:szCs w:val="24"/>
          <w:vertAlign w:val="superscript"/>
          <w:lang w:val="en-US"/>
        </w:rPr>
        <w:t>†</w:t>
      </w:r>
      <w:r w:rsidRPr="00384B92">
        <w:rPr>
          <w:rFonts w:ascii="Times New Roman" w:hAnsi="Times New Roman"/>
          <w:color w:val="000000" w:themeColor="text1"/>
          <w:szCs w:val="24"/>
          <w:lang w:val="en-US"/>
        </w:rPr>
        <w:t>Cox proportional hazard models including age, sex, smoking, amount of alcohol drinking, activity, systolic blood pressure, diastolic blood pressure, fasting blood glucose, cholesterol and fatty liver index as covariates.</w:t>
      </w:r>
    </w:p>
    <w:p w:rsidR="00666484" w:rsidRPr="00384B92" w:rsidRDefault="00666484" w:rsidP="00666484">
      <w:pPr>
        <w:widowControl w:val="0"/>
        <w:spacing w:after="0" w:line="360" w:lineRule="auto"/>
        <w:rPr>
          <w:rFonts w:ascii="Times New Roman" w:eastAsia="Malgun Gothic" w:hAnsi="Times New Roman"/>
          <w:color w:val="000000" w:themeColor="text1"/>
          <w:szCs w:val="20"/>
          <w:lang w:val="en-US"/>
        </w:rPr>
      </w:pPr>
      <w:r w:rsidRPr="00384B92">
        <w:rPr>
          <w:rFonts w:ascii="Times New Roman" w:eastAsia="Malgun Gothic" w:hAnsi="Times New Roman"/>
          <w:color w:val="000000" w:themeColor="text1"/>
          <w:szCs w:val="20"/>
          <w:vertAlign w:val="superscript"/>
          <w:lang w:val="en-US"/>
        </w:rPr>
        <w:t>‡</w:t>
      </w:r>
      <w:r w:rsidRPr="00384B92">
        <w:rPr>
          <w:rFonts w:ascii="Times New Roman" w:eastAsia="Malgun Gothic" w:hAnsi="Times New Roman"/>
          <w:color w:val="000000" w:themeColor="text1"/>
          <w:szCs w:val="20"/>
          <w:lang w:val="en-US"/>
        </w:rPr>
        <w:t>Low probability: 0 ≤ FLI &lt; 25 for male, 0 ≤ FLI &lt; 10 for female; intermediate probability: 25 ≤ FLI &lt; 35 for male, 10 ≤ FLI &lt; 20 for female; high probability: FLI ≥ 35 for male, FLI ≥ 20 for female</w:t>
      </w:r>
    </w:p>
    <w:p w:rsidR="00666484" w:rsidRPr="00384B92" w:rsidRDefault="00666484" w:rsidP="00666484">
      <w:pPr>
        <w:widowControl w:val="0"/>
        <w:spacing w:after="0" w:line="360" w:lineRule="auto"/>
        <w:rPr>
          <w:rFonts w:ascii="Times New Roman" w:hAnsi="Times New Roman"/>
          <w:color w:val="000000" w:themeColor="text1"/>
          <w:szCs w:val="24"/>
          <w:lang w:val="en-US"/>
        </w:rPr>
      </w:pPr>
      <w:r w:rsidRPr="00384B92">
        <w:rPr>
          <w:rFonts w:ascii="Times New Roman" w:hAnsi="Times New Roman"/>
          <w:color w:val="000000" w:themeColor="text1"/>
          <w:szCs w:val="24"/>
          <w:lang w:val="en-US"/>
        </w:rPr>
        <w:lastRenderedPageBreak/>
        <w:t xml:space="preserve">CI: confidential interval, </w:t>
      </w:r>
      <w:r w:rsidRPr="00384B92">
        <w:rPr>
          <w:rFonts w:ascii="Times New Roman" w:hAnsi="Times New Roman" w:hint="eastAsia"/>
          <w:color w:val="000000" w:themeColor="text1"/>
          <w:szCs w:val="24"/>
          <w:lang w:val="en-US"/>
        </w:rPr>
        <w:t>F</w:t>
      </w:r>
      <w:r w:rsidRPr="00384B92">
        <w:rPr>
          <w:rFonts w:ascii="Times New Roman" w:hAnsi="Times New Roman"/>
          <w:color w:val="000000" w:themeColor="text1"/>
          <w:szCs w:val="24"/>
          <w:lang w:val="en-US"/>
        </w:rPr>
        <w:t>LI: fatty liver index, HR: hazard ratio</w:t>
      </w:r>
    </w:p>
    <w:p w:rsidR="007E5B49" w:rsidRDefault="007E5B49">
      <w:bookmarkStart w:id="0" w:name="_GoBack"/>
      <w:bookmarkEnd w:id="0"/>
    </w:p>
    <w:sectPr w:rsidR="007E5B4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B49"/>
    <w:rsid w:val="00666484"/>
    <w:rsid w:val="00705CF6"/>
    <w:rsid w:val="007E5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6484"/>
    <w:pPr>
      <w:spacing w:after="0" w:line="240" w:lineRule="auto"/>
      <w:jc w:val="both"/>
    </w:pPr>
    <w:rPr>
      <w:rFonts w:eastAsiaTheme="minorEastAsia"/>
      <w:kern w:val="2"/>
      <w:sz w:val="20"/>
      <w:szCs w:val="24"/>
      <w:lang w:val="en-US"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6484"/>
    <w:pPr>
      <w:spacing w:after="0" w:line="240" w:lineRule="auto"/>
      <w:jc w:val="both"/>
    </w:pPr>
    <w:rPr>
      <w:rFonts w:eastAsiaTheme="minorEastAsia"/>
      <w:kern w:val="2"/>
      <w:sz w:val="20"/>
      <w:szCs w:val="24"/>
      <w:lang w:val="en-US"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1185</Characters>
  <Application>Microsoft Office Word</Application>
  <DocSecurity>0</DocSecurity>
  <Lines>22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OF47</dc:creator>
  <cp:lastModifiedBy>OF47</cp:lastModifiedBy>
  <cp:revision>2</cp:revision>
  <dcterms:created xsi:type="dcterms:W3CDTF">2020-03-26T05:01:00Z</dcterms:created>
  <dcterms:modified xsi:type="dcterms:W3CDTF">2020-03-26T05:01:00Z</dcterms:modified>
</cp:coreProperties>
</file>