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52642" w14:textId="31AB5FCB" w:rsidR="00C4722C" w:rsidRDefault="00E44CDE">
      <w:r>
        <w:rPr>
          <w:noProof/>
        </w:rPr>
        <w:drawing>
          <wp:inline distT="0" distB="0" distL="0" distR="0" wp14:anchorId="32FCA960" wp14:editId="21FAA277">
            <wp:extent cx="4333875" cy="32004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6AC7D" w14:textId="49F93690" w:rsidR="00E44CDE" w:rsidRDefault="00E44CDE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igure S1. Sensitivity analysis for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per SD increase in TC on the risk of MACE in CHD patients</w:t>
      </w:r>
    </w:p>
    <w:p w14:paraId="78AF0D93" w14:textId="6EA8BA62" w:rsidR="00E44CDE" w:rsidRDefault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5A0336B7" w14:textId="4856E0B9" w:rsidR="00E44CDE" w:rsidRDefault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47F7F5AB" w14:textId="6CAE7647" w:rsidR="00E44CDE" w:rsidRDefault="00E44CDE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58101653" wp14:editId="7C3549B6">
            <wp:extent cx="4581525" cy="33051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31E50" w14:textId="20EAA984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2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. Sensitivity analysis for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per SD increase in LDL on the risk of MACE in CHD patients</w:t>
      </w:r>
    </w:p>
    <w:p w14:paraId="6575FED9" w14:textId="7ABEB920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01D0E8DB" w14:textId="4681C026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7AB53A2F" w14:textId="15861FC1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557CDA32" w14:textId="31CB9B03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6B069CAD" w14:textId="5C912F03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5564AA" wp14:editId="0103BA55">
            <wp:extent cx="4667250" cy="36099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BFD5C" w14:textId="02A37D38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3.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Sensitivity analysis for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per SD increase in </w:t>
      </w:r>
      <w:r>
        <w:rPr>
          <w:rFonts w:ascii="Times New Roman" w:hAnsi="Times New Roman" w:cs="Times New Roman"/>
          <w:kern w:val="0"/>
          <w:sz w:val="24"/>
          <w:szCs w:val="24"/>
        </w:rPr>
        <w:t>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DL on the risk of MACE in CHD patients</w:t>
      </w:r>
    </w:p>
    <w:p w14:paraId="48C570A3" w14:textId="77777777" w:rsidR="00E44CDE" w:rsidRPr="00E44CDE" w:rsidRDefault="00E44CDE" w:rsidP="00E44CDE">
      <w:pPr>
        <w:rPr>
          <w:rFonts w:ascii="Times New Roman" w:hAnsi="Times New Roman" w:cs="Times New Roman" w:hint="eastAsia"/>
          <w:kern w:val="0"/>
          <w:sz w:val="24"/>
          <w:szCs w:val="24"/>
        </w:rPr>
      </w:pPr>
    </w:p>
    <w:p w14:paraId="7F2A4000" w14:textId="77777777" w:rsidR="00E44CDE" w:rsidRPr="00E44CDE" w:rsidRDefault="00E44CDE" w:rsidP="00E44CDE">
      <w:pPr>
        <w:rPr>
          <w:rFonts w:ascii="Times New Roman" w:hAnsi="Times New Roman" w:cs="Times New Roman" w:hint="eastAsia"/>
          <w:kern w:val="0"/>
          <w:sz w:val="24"/>
          <w:szCs w:val="24"/>
        </w:rPr>
      </w:pPr>
    </w:p>
    <w:p w14:paraId="7BFC6AD7" w14:textId="4B898EAA" w:rsidR="00E44CDE" w:rsidRDefault="00E44CDE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467F480" wp14:editId="631BA37F">
            <wp:extent cx="4362450" cy="30861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A82F2" w14:textId="74CFDCE4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4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Sensitivity analysis for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low versus high </w:t>
      </w:r>
      <w:r>
        <w:rPr>
          <w:rFonts w:ascii="Times New Roman" w:hAnsi="Times New Roman" w:cs="Times New Roman"/>
          <w:kern w:val="0"/>
          <w:sz w:val="24"/>
          <w:szCs w:val="24"/>
        </w:rPr>
        <w:t>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DL on the risk of MACE in CHD patients</w:t>
      </w:r>
    </w:p>
    <w:p w14:paraId="655A0F29" w14:textId="4B048D4F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08ADDB61" w14:textId="10C5DD40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11C59EE5" w14:textId="656D64F8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30C77D9F" w14:textId="158F2C5C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F393E0B" wp14:editId="420DEF82">
            <wp:extent cx="4371975" cy="30194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835C8" w14:textId="15AFBB76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5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Sensitivity analysis for </w:t>
      </w:r>
      <w:r>
        <w:rPr>
          <w:rFonts w:ascii="Times New Roman" w:hAnsi="Times New Roman" w:cs="Times New Roman"/>
          <w:kern w:val="0"/>
          <w:sz w:val="24"/>
          <w:szCs w:val="24"/>
        </w:rPr>
        <w:t>low versus high 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DL on the risk of </w:t>
      </w:r>
      <w:r>
        <w:rPr>
          <w:rFonts w:ascii="Times New Roman" w:hAnsi="Times New Roman" w:cs="Times New Roman"/>
          <w:kern w:val="0"/>
          <w:sz w:val="24"/>
          <w:szCs w:val="24"/>
        </w:rPr>
        <w:t>all-cause mortality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in CHD patients</w:t>
      </w:r>
    </w:p>
    <w:p w14:paraId="30A57873" w14:textId="11B76A86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447E4330" w14:textId="3AE45E3B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65FFD672" w14:textId="6D50D92C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AAF01FE" wp14:editId="36EC57AC">
            <wp:extent cx="4533900" cy="31242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5FAAA" w14:textId="0FEA605F" w:rsidR="00E44CDE" w:rsidRDefault="00E44CDE" w:rsidP="00E44CDE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6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Sensitivity analysis for </w:t>
      </w:r>
      <w:r>
        <w:rPr>
          <w:rFonts w:ascii="Times New Roman" w:hAnsi="Times New Roman" w:cs="Times New Roman"/>
          <w:kern w:val="0"/>
          <w:sz w:val="24"/>
          <w:szCs w:val="24"/>
        </w:rPr>
        <w:t>low versus high 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DL on the risk of </w:t>
      </w:r>
      <w:r>
        <w:rPr>
          <w:rFonts w:ascii="Times New Roman" w:hAnsi="Times New Roman" w:cs="Times New Roman"/>
          <w:kern w:val="0"/>
          <w:sz w:val="24"/>
          <w:szCs w:val="24"/>
        </w:rPr>
        <w:t>cardiac death</w:t>
      </w:r>
      <w:bookmarkStart w:id="0" w:name="_GoBack"/>
      <w:bookmarkEnd w:id="0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in CHD patients</w:t>
      </w:r>
    </w:p>
    <w:p w14:paraId="51A86C49" w14:textId="77777777" w:rsidR="00E44CDE" w:rsidRPr="00E44CDE" w:rsidRDefault="00E44CDE" w:rsidP="00E44CDE">
      <w:pPr>
        <w:rPr>
          <w:rFonts w:ascii="Times New Roman" w:hAnsi="Times New Roman" w:cs="Times New Roman" w:hint="eastAsia"/>
          <w:kern w:val="0"/>
          <w:sz w:val="24"/>
          <w:szCs w:val="24"/>
        </w:rPr>
      </w:pPr>
    </w:p>
    <w:p w14:paraId="7732DA75" w14:textId="77777777" w:rsidR="00E44CDE" w:rsidRPr="00E44CDE" w:rsidRDefault="00E44CDE">
      <w:pPr>
        <w:rPr>
          <w:rFonts w:ascii="Times New Roman" w:hAnsi="Times New Roman" w:cs="Times New Roman" w:hint="eastAsia"/>
          <w:kern w:val="0"/>
          <w:sz w:val="24"/>
          <w:szCs w:val="24"/>
        </w:rPr>
      </w:pPr>
    </w:p>
    <w:sectPr w:rsidR="00E44CDE" w:rsidRPr="00E44C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01F7A" w14:textId="77777777" w:rsidR="00B31D1C" w:rsidRDefault="00B31D1C" w:rsidP="00E44CDE">
      <w:r>
        <w:separator/>
      </w:r>
    </w:p>
  </w:endnote>
  <w:endnote w:type="continuationSeparator" w:id="0">
    <w:p w14:paraId="547B0C39" w14:textId="77777777" w:rsidR="00B31D1C" w:rsidRDefault="00B31D1C" w:rsidP="00E4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F7DE2" w14:textId="77777777" w:rsidR="00B31D1C" w:rsidRDefault="00B31D1C" w:rsidP="00E44CDE">
      <w:r>
        <w:separator/>
      </w:r>
    </w:p>
  </w:footnote>
  <w:footnote w:type="continuationSeparator" w:id="0">
    <w:p w14:paraId="586681D4" w14:textId="77777777" w:rsidR="00B31D1C" w:rsidRDefault="00B31D1C" w:rsidP="00E44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E0"/>
    <w:rsid w:val="00A841E0"/>
    <w:rsid w:val="00B31D1C"/>
    <w:rsid w:val="00C4722C"/>
    <w:rsid w:val="00E4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397E34"/>
  <w15:chartTrackingRefBased/>
  <w15:docId w15:val="{9CF784E3-ADF4-401E-9D47-56FD9984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C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4CD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4C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4C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2019-05-27T09:19:00Z</dcterms:created>
  <dcterms:modified xsi:type="dcterms:W3CDTF">2019-05-27T09:26:00Z</dcterms:modified>
</cp:coreProperties>
</file>