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2EF72" w14:textId="0641348A" w:rsidR="007B2FB4" w:rsidRPr="005C53D2" w:rsidRDefault="007B2FB4" w:rsidP="007B2FB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3D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C53D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C53D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5C53D2">
        <w:rPr>
          <w:rFonts w:ascii="Times New Roman" w:hAnsi="Times New Roman" w:cs="Times New Roman"/>
          <w:sz w:val="24"/>
          <w:szCs w:val="24"/>
        </w:rPr>
        <w:t>NSTEMI/STEMI occurrence within 2 years after PCI in CHD patients with diabetes mellitus</w:t>
      </w:r>
    </w:p>
    <w:tbl>
      <w:tblPr>
        <w:tblStyle w:val="TableGrid"/>
        <w:tblW w:w="501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1"/>
        <w:gridCol w:w="4770"/>
      </w:tblGrid>
      <w:tr w:rsidR="007B2FB4" w:rsidRPr="005C53D2" w14:paraId="2EC97C42" w14:textId="77777777" w:rsidTr="006827D0">
        <w:trPr>
          <w:jc w:val="center"/>
        </w:trPr>
        <w:tc>
          <w:tcPr>
            <w:tcW w:w="22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8CC4B" w14:textId="77777777" w:rsidR="007B2FB4" w:rsidRPr="005C53D2" w:rsidRDefault="007B2FB4" w:rsidP="007B2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3D2">
              <w:rPr>
                <w:rFonts w:ascii="Times New Roman" w:hAnsi="Times New Roman" w:cs="Times New Roman"/>
                <w:sz w:val="24"/>
                <w:szCs w:val="24"/>
              </w:rPr>
              <w:t xml:space="preserve">Items </w:t>
            </w:r>
          </w:p>
        </w:tc>
        <w:tc>
          <w:tcPr>
            <w:tcW w:w="2789" w:type="pct"/>
            <w:tcBorders>
              <w:top w:val="single" w:sz="4" w:space="0" w:color="auto"/>
              <w:bottom w:val="single" w:sz="4" w:space="0" w:color="auto"/>
            </w:tcBorders>
          </w:tcPr>
          <w:p w14:paraId="0F2237F5" w14:textId="77777777" w:rsidR="007B2FB4" w:rsidRPr="005C53D2" w:rsidRDefault="007B2FB4" w:rsidP="007B2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D2">
              <w:rPr>
                <w:rFonts w:ascii="Times New Roman" w:hAnsi="Times New Roman" w:cs="Times New Roman"/>
                <w:sz w:val="24"/>
                <w:szCs w:val="24"/>
              </w:rPr>
              <w:t>CHD patients with diabetes mellitus (n=63)</w:t>
            </w:r>
          </w:p>
        </w:tc>
      </w:tr>
      <w:tr w:rsidR="007B2FB4" w:rsidRPr="005C53D2" w14:paraId="6A648CA5" w14:textId="77777777" w:rsidTr="006827D0">
        <w:trPr>
          <w:jc w:val="center"/>
        </w:trPr>
        <w:tc>
          <w:tcPr>
            <w:tcW w:w="2211" w:type="pct"/>
          </w:tcPr>
          <w:p w14:paraId="02B0CA0B" w14:textId="77777777" w:rsidR="007B2FB4" w:rsidRPr="005C53D2" w:rsidRDefault="007B2FB4" w:rsidP="007B2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3D2">
              <w:rPr>
                <w:rFonts w:ascii="Times New Roman" w:hAnsi="Times New Roman" w:cs="Times New Roman"/>
                <w:sz w:val="24"/>
                <w:szCs w:val="24"/>
              </w:rPr>
              <w:t>NSTEMI</w:t>
            </w:r>
            <w:r w:rsidRPr="005C53D2">
              <w:rPr>
                <w:rFonts w:ascii="Times New Roman" w:hAnsi="Times New Roman" w:cs="Times New Roman" w:hint="eastAsia"/>
                <w:sz w:val="24"/>
                <w:szCs w:val="24"/>
              </w:rPr>
              <w:t>, No. (%)</w:t>
            </w:r>
          </w:p>
        </w:tc>
        <w:tc>
          <w:tcPr>
            <w:tcW w:w="2789" w:type="pct"/>
            <w:shd w:val="clear" w:color="auto" w:fill="auto"/>
            <w:vAlign w:val="bottom"/>
          </w:tcPr>
          <w:p w14:paraId="5343C835" w14:textId="77777777" w:rsidR="007B2FB4" w:rsidRPr="005C53D2" w:rsidRDefault="007B2FB4" w:rsidP="007B2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D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5C53D2">
              <w:rPr>
                <w:rFonts w:ascii="Times New Roman" w:hAnsi="Times New Roman" w:cs="Times New Roman"/>
                <w:sz w:val="24"/>
                <w:szCs w:val="24"/>
              </w:rPr>
              <w:t>3 (20.6)</w:t>
            </w:r>
          </w:p>
        </w:tc>
      </w:tr>
      <w:tr w:rsidR="007B2FB4" w:rsidRPr="005C53D2" w14:paraId="03EE0CA6" w14:textId="77777777" w:rsidTr="006827D0">
        <w:trPr>
          <w:jc w:val="center"/>
        </w:trPr>
        <w:tc>
          <w:tcPr>
            <w:tcW w:w="2211" w:type="pct"/>
          </w:tcPr>
          <w:p w14:paraId="2E747C4B" w14:textId="77777777" w:rsidR="007B2FB4" w:rsidRPr="005C53D2" w:rsidRDefault="007B2FB4" w:rsidP="007B2F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3D2">
              <w:rPr>
                <w:rFonts w:ascii="Times New Roman" w:hAnsi="Times New Roman" w:cs="Times New Roman"/>
                <w:sz w:val="24"/>
                <w:szCs w:val="24"/>
              </w:rPr>
              <w:t>STEMI</w:t>
            </w:r>
            <w:r w:rsidRPr="005C53D2">
              <w:rPr>
                <w:rFonts w:ascii="Times New Roman" w:hAnsi="Times New Roman" w:cs="Times New Roman" w:hint="eastAsia"/>
                <w:sz w:val="24"/>
                <w:szCs w:val="24"/>
              </w:rPr>
              <w:t>, No. (%)</w:t>
            </w:r>
          </w:p>
        </w:tc>
        <w:tc>
          <w:tcPr>
            <w:tcW w:w="2789" w:type="pct"/>
            <w:shd w:val="clear" w:color="auto" w:fill="auto"/>
            <w:vAlign w:val="bottom"/>
          </w:tcPr>
          <w:p w14:paraId="45D127BB" w14:textId="77777777" w:rsidR="007B2FB4" w:rsidRPr="005C53D2" w:rsidRDefault="007B2FB4" w:rsidP="007B2F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3D2">
              <w:rPr>
                <w:rFonts w:ascii="Times New Roman" w:hAnsi="Times New Roman" w:cs="Times New Roman"/>
                <w:sz w:val="24"/>
                <w:szCs w:val="24"/>
              </w:rPr>
              <w:t>7 (11.1)</w:t>
            </w:r>
          </w:p>
        </w:tc>
      </w:tr>
    </w:tbl>
    <w:p w14:paraId="0263E71D" w14:textId="4D90FB2F" w:rsidR="006B2A7B" w:rsidRPr="007B2FB4" w:rsidRDefault="007B2FB4" w:rsidP="007B2FB4">
      <w:pPr>
        <w:spacing w:line="360" w:lineRule="auto"/>
      </w:pPr>
      <w:r w:rsidRPr="005C53D2">
        <w:rPr>
          <w:rFonts w:ascii="Times New Roman" w:eastAsia="等线" w:hAnsi="Times New Roman" w:cs="Times New Roman"/>
          <w:kern w:val="0"/>
          <w:sz w:val="24"/>
          <w:szCs w:val="24"/>
        </w:rPr>
        <w:t>CHD, coronary heart disease; NSTEMI, non-ST-segment elevation myocardial infarction; STEMI, ST-segment elevation myocardial infarction; PCI, percutaneous coronary intervention.</w:t>
      </w:r>
    </w:p>
    <w:sectPr w:rsidR="006B2A7B" w:rsidRPr="007B2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FEDC0" w14:textId="77777777" w:rsidR="00C02605" w:rsidRDefault="00C02605" w:rsidP="007B2FB4">
      <w:r>
        <w:separator/>
      </w:r>
    </w:p>
  </w:endnote>
  <w:endnote w:type="continuationSeparator" w:id="0">
    <w:p w14:paraId="1A1D9C44" w14:textId="77777777" w:rsidR="00C02605" w:rsidRDefault="00C02605" w:rsidP="007B2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9BA4" w14:textId="77777777" w:rsidR="00C02605" w:rsidRDefault="00C02605" w:rsidP="007B2FB4">
      <w:r>
        <w:separator/>
      </w:r>
    </w:p>
  </w:footnote>
  <w:footnote w:type="continuationSeparator" w:id="0">
    <w:p w14:paraId="1B80B492" w14:textId="77777777" w:rsidR="00C02605" w:rsidRDefault="00C02605" w:rsidP="007B2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18E"/>
    <w:rsid w:val="005C53D2"/>
    <w:rsid w:val="006B2A7B"/>
    <w:rsid w:val="007B2FB4"/>
    <w:rsid w:val="00A5718E"/>
    <w:rsid w:val="00C0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DC9090"/>
  <w15:chartTrackingRefBased/>
  <w15:docId w15:val="{767A5B04-B130-4B85-ABCC-FF942B7F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FB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2FB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2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2FB4"/>
    <w:rPr>
      <w:sz w:val="18"/>
      <w:szCs w:val="18"/>
    </w:rPr>
  </w:style>
  <w:style w:type="table" w:styleId="TableGrid">
    <w:name w:val="Table Grid"/>
    <w:basedOn w:val="TableNormal"/>
    <w:uiPriority w:val="39"/>
    <w:rsid w:val="007B2F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Divya D.</cp:lastModifiedBy>
  <cp:revision>3</cp:revision>
  <dcterms:created xsi:type="dcterms:W3CDTF">2020-12-07T02:50:00Z</dcterms:created>
  <dcterms:modified xsi:type="dcterms:W3CDTF">2020-12-29T05:25:00Z</dcterms:modified>
</cp:coreProperties>
</file>