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912" w:rsidRPr="00E3551C" w:rsidRDefault="00794A04" w:rsidP="00E07912">
      <w:pPr>
        <w:spacing w:after="0" w:line="480" w:lineRule="auto"/>
        <w:jc w:val="center"/>
        <w:rPr>
          <w:lang w:val="en-US"/>
        </w:rPr>
      </w:pPr>
      <w:bookmarkStart w:id="0" w:name="_GoBack"/>
      <w:r>
        <w:rPr>
          <w:b/>
          <w:sz w:val="28"/>
          <w:szCs w:val="28"/>
        </w:rPr>
        <w:t>IGFBP7 and GDF-15, but not P1NP, are associated with cardiac alterations and 10-year outcome in an elderly community-based study</w:t>
      </w:r>
      <w:r>
        <w:rPr>
          <w:b/>
          <w:sz w:val="28"/>
          <w:szCs w:val="28"/>
        </w:rPr>
        <w:br/>
      </w:r>
      <w:r w:rsidR="00E07912" w:rsidRPr="00E3551C">
        <w:rPr>
          <w:lang w:val="en-US"/>
        </w:rPr>
        <w:t>Jennifer M.T.A. Meessen</w:t>
      </w:r>
      <w:r w:rsidR="00E07912" w:rsidRPr="00E3551C">
        <w:rPr>
          <w:vertAlign w:val="superscript"/>
          <w:lang w:val="en-US"/>
        </w:rPr>
        <w:t>1</w:t>
      </w:r>
      <w:r w:rsidR="00E07912" w:rsidRPr="00E3551C">
        <w:rPr>
          <w:lang w:val="en-US"/>
        </w:rPr>
        <w:t>, Giulia Cesaroni</w:t>
      </w:r>
      <w:r w:rsidR="00E07912" w:rsidRPr="00E3551C">
        <w:rPr>
          <w:vertAlign w:val="superscript"/>
          <w:lang w:val="en-US"/>
        </w:rPr>
        <w:t>2</w:t>
      </w:r>
      <w:r w:rsidR="00E07912" w:rsidRPr="00E3551C">
        <w:rPr>
          <w:lang w:val="en-US"/>
        </w:rPr>
        <w:t xml:space="preserve">, </w:t>
      </w:r>
      <w:proofErr w:type="spellStart"/>
      <w:r w:rsidR="00E07912" w:rsidRPr="00E3551C">
        <w:rPr>
          <w:lang w:val="en-US"/>
        </w:rPr>
        <w:t>Gian</w:t>
      </w:r>
      <w:proofErr w:type="spellEnd"/>
      <w:r w:rsidR="00E07912" w:rsidRPr="00E3551C">
        <w:rPr>
          <w:lang w:val="en-US"/>
        </w:rPr>
        <w:t xml:space="preserve"> F. Mureddu</w:t>
      </w:r>
      <w:r w:rsidR="00E07912" w:rsidRPr="00E3551C">
        <w:rPr>
          <w:vertAlign w:val="superscript"/>
          <w:lang w:val="en-US"/>
        </w:rPr>
        <w:t>3</w:t>
      </w:r>
      <w:r w:rsidR="00E07912" w:rsidRPr="00E3551C">
        <w:rPr>
          <w:lang w:val="en-US"/>
        </w:rPr>
        <w:t>, Alessandro Boccanelli</w:t>
      </w:r>
      <w:r w:rsidR="00E07912" w:rsidRPr="00E3551C">
        <w:rPr>
          <w:vertAlign w:val="superscript"/>
          <w:lang w:val="en-US"/>
        </w:rPr>
        <w:t>4</w:t>
      </w:r>
      <w:r w:rsidR="00E07912" w:rsidRPr="00E3551C">
        <w:rPr>
          <w:lang w:val="en-US"/>
        </w:rPr>
        <w:t>, Ursula-</w:t>
      </w:r>
      <w:proofErr w:type="spellStart"/>
      <w:r w:rsidR="00E07912" w:rsidRPr="00E3551C">
        <w:rPr>
          <w:lang w:val="en-US"/>
        </w:rPr>
        <w:t>Henrike</w:t>
      </w:r>
      <w:proofErr w:type="spellEnd"/>
      <w:r w:rsidR="00E07912" w:rsidRPr="00E3551C">
        <w:rPr>
          <w:lang w:val="en-US"/>
        </w:rPr>
        <w:t xml:space="preserve"> Wienhues-Thelen</w:t>
      </w:r>
      <w:r w:rsidR="00E07912" w:rsidRPr="00E3551C">
        <w:rPr>
          <w:vertAlign w:val="superscript"/>
          <w:lang w:val="en-US"/>
        </w:rPr>
        <w:t>5</w:t>
      </w:r>
      <w:r w:rsidR="00E07912" w:rsidRPr="00E3551C">
        <w:rPr>
          <w:lang w:val="en-US"/>
        </w:rPr>
        <w:t>, Peter Kastner</w:t>
      </w:r>
      <w:r w:rsidR="00E07912" w:rsidRPr="00E3551C">
        <w:rPr>
          <w:vertAlign w:val="superscript"/>
          <w:lang w:val="en-US"/>
        </w:rPr>
        <w:t>5</w:t>
      </w:r>
      <w:r w:rsidR="00E07912" w:rsidRPr="00E3551C">
        <w:rPr>
          <w:lang w:val="en-US"/>
        </w:rPr>
        <w:t>, Maria L. Ojeda-Fernandez</w:t>
      </w:r>
      <w:r w:rsidR="00E07912" w:rsidRPr="00E3551C">
        <w:rPr>
          <w:vertAlign w:val="superscript"/>
          <w:lang w:val="en-US"/>
        </w:rPr>
        <w:t>1</w:t>
      </w:r>
      <w:r w:rsidR="00E07912" w:rsidRPr="00E3551C">
        <w:rPr>
          <w:lang w:val="en-US"/>
        </w:rPr>
        <w:t>, Deborah Novelli</w:t>
      </w:r>
      <w:r w:rsidR="00E07912" w:rsidRPr="00E3551C">
        <w:rPr>
          <w:vertAlign w:val="superscript"/>
          <w:lang w:val="en-US"/>
        </w:rPr>
        <w:t>1</w:t>
      </w:r>
      <w:r w:rsidR="00E07912" w:rsidRPr="00E3551C">
        <w:rPr>
          <w:lang w:val="en-US"/>
        </w:rPr>
        <w:t>, Gianfranco Bazzoni</w:t>
      </w:r>
      <w:r w:rsidR="00E07912" w:rsidRPr="00E3551C">
        <w:rPr>
          <w:vertAlign w:val="superscript"/>
          <w:lang w:val="en-US"/>
        </w:rPr>
        <w:t>6</w:t>
      </w:r>
      <w:r w:rsidR="00E07912" w:rsidRPr="00E3551C">
        <w:rPr>
          <w:lang w:val="en-US"/>
        </w:rPr>
        <w:t>, Maurizio Mangiavacchi</w:t>
      </w:r>
      <w:r w:rsidR="00E07912" w:rsidRPr="00E3551C">
        <w:rPr>
          <w:vertAlign w:val="superscript"/>
          <w:lang w:val="en-US"/>
        </w:rPr>
        <w:t>7</w:t>
      </w:r>
      <w:r w:rsidR="00E07912" w:rsidRPr="00E3551C">
        <w:rPr>
          <w:lang w:val="en-US"/>
        </w:rPr>
        <w:t>, Nera Agabiti</w:t>
      </w:r>
      <w:r w:rsidR="00E07912" w:rsidRPr="00E3551C">
        <w:rPr>
          <w:vertAlign w:val="superscript"/>
          <w:lang w:val="en-US"/>
        </w:rPr>
        <w:t>2</w:t>
      </w:r>
      <w:r w:rsidR="00E07912" w:rsidRPr="00E3551C">
        <w:rPr>
          <w:lang w:val="en-US"/>
        </w:rPr>
        <w:t xml:space="preserve">, </w:t>
      </w:r>
      <w:sdt>
        <w:sdtPr>
          <w:rPr>
            <w:lang w:val="en-US"/>
          </w:rPr>
          <w:tag w:val="goog_rdk_0"/>
          <w:id w:val="1912041756"/>
        </w:sdtPr>
        <w:sdtContent/>
      </w:sdt>
      <w:r w:rsidR="00E07912" w:rsidRPr="00E3551C">
        <w:rPr>
          <w:lang w:val="en-US"/>
        </w:rPr>
        <w:t>Serge Masson</w:t>
      </w:r>
      <w:r w:rsidR="00E07912" w:rsidRPr="00E3551C">
        <w:rPr>
          <w:vertAlign w:val="superscript"/>
          <w:lang w:val="en-US"/>
        </w:rPr>
        <w:t>8</w:t>
      </w:r>
      <w:r w:rsidR="00E07912" w:rsidRPr="00E3551C">
        <w:rPr>
          <w:lang w:val="en-US"/>
        </w:rPr>
        <w:t>, Lidia Staszewsky</w:t>
      </w:r>
      <w:r w:rsidR="00E07912" w:rsidRPr="00E3551C">
        <w:rPr>
          <w:vertAlign w:val="superscript"/>
          <w:lang w:val="en-US"/>
        </w:rPr>
        <w:t>1</w:t>
      </w:r>
      <w:r w:rsidR="00E07912" w:rsidRPr="00E3551C">
        <w:rPr>
          <w:lang w:val="en-US"/>
        </w:rPr>
        <w:t>, Roberto Latini</w:t>
      </w:r>
      <w:r w:rsidR="00E07912" w:rsidRPr="00E3551C">
        <w:rPr>
          <w:vertAlign w:val="superscript"/>
          <w:lang w:val="en-US"/>
        </w:rPr>
        <w:t>1</w:t>
      </w:r>
      <w:r w:rsidR="00E07912" w:rsidRPr="00E3551C">
        <w:rPr>
          <w:lang w:val="en-US"/>
        </w:rPr>
        <w:t>, on behalf of the PREDICTOR Investigators.</w:t>
      </w:r>
    </w:p>
    <w:bookmarkEnd w:id="0"/>
    <w:p w:rsidR="00794A04" w:rsidRDefault="00794A04" w:rsidP="00E07912">
      <w:pPr>
        <w:spacing w:line="360" w:lineRule="auto"/>
        <w:jc w:val="center"/>
        <w:rPr>
          <w:b/>
          <w:sz w:val="36"/>
          <w:szCs w:val="32"/>
        </w:rPr>
      </w:pPr>
      <w:r w:rsidRPr="00794A04">
        <w:rPr>
          <w:b/>
          <w:sz w:val="36"/>
          <w:szCs w:val="32"/>
        </w:rPr>
        <w:t>Supplemental Material</w:t>
      </w:r>
    </w:p>
    <w:p w:rsidR="00794A04" w:rsidRDefault="00794A04" w:rsidP="00794A04">
      <w:pPr>
        <w:jc w:val="center"/>
        <w:rPr>
          <w:b/>
          <w:sz w:val="36"/>
          <w:szCs w:val="32"/>
        </w:rPr>
      </w:pPr>
    </w:p>
    <w:p w:rsidR="00794A04" w:rsidRDefault="00794A04" w:rsidP="00794A04">
      <w:pPr>
        <w:jc w:val="center"/>
        <w:rPr>
          <w:b/>
        </w:rPr>
      </w:pPr>
    </w:p>
    <w:p w:rsidR="00794A04" w:rsidRDefault="00794A04" w:rsidP="00794A0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Methods</w:t>
      </w:r>
    </w:p>
    <w:p w:rsidR="00794A04" w:rsidRDefault="00794A04" w:rsidP="00794A04">
      <w:pPr>
        <w:jc w:val="both"/>
        <w:rPr>
          <w:b/>
        </w:rPr>
      </w:pPr>
      <w:r>
        <w:rPr>
          <w:b/>
        </w:rPr>
        <w:t>Echocardiography and cardiac phenotype</w:t>
      </w:r>
    </w:p>
    <w:p w:rsidR="00794A04" w:rsidRDefault="00794A04" w:rsidP="00794A04">
      <w:pPr>
        <w:jc w:val="both"/>
      </w:pPr>
      <w:r>
        <w:t>Echocardiograms were recorded using standard DICOM format on digital supports and sent to a central laboratory (European Imaging Laboratory, Rome) for reading. LV mass was calculated according to the recommendations of the American Society of Echocardiography (ASE) and the European Association of Echocardiography (EAE).</w:t>
      </w:r>
      <w:r>
        <w:rPr>
          <w:vertAlign w:val="superscript"/>
        </w:rPr>
        <w:footnoteReference w:id="1"/>
      </w:r>
      <w:r>
        <w:t xml:space="preserve"> Left ventricular hypertrophy (LVH) was defined as LVmass/body surface area (BSA)&gt;95 g/m2 in women and &gt;115 g/m2 in men. LV mid-wall dysfunction was defined as MFS &lt;15%; this cut-off level is commonly used in studies of high-risk patients</w:t>
      </w:r>
      <w:r>
        <w:rPr>
          <w:vertAlign w:val="superscript"/>
        </w:rPr>
        <w:footnoteReference w:id="2"/>
      </w:r>
      <w:r>
        <w:t xml:space="preserve"> and has demonstrated prognostic relevance in hypertensive subjects.</w:t>
      </w:r>
      <w:r>
        <w:rPr>
          <w:vertAlign w:val="superscript"/>
        </w:rPr>
        <w:footnoteReference w:id="3"/>
      </w:r>
      <w:r>
        <w:t xml:space="preserve"> E/e’ parameters and &lt;LA enlargement were measured and considered according the AHA/ACC/ESC guidelines.</w:t>
      </w:r>
      <w:r>
        <w:rPr>
          <w:vertAlign w:val="superscript"/>
        </w:rPr>
        <w:footnoteReference w:id="4"/>
      </w:r>
      <w:r>
        <w:t xml:space="preserve"> Recommendations for cardiac chamber quantification by echocardiography in adults: an update from the American Society of Echocardiography and the European Association of Cardiovascular Imaging.</w:t>
      </w:r>
    </w:p>
    <w:p w:rsidR="00E5271A" w:rsidRDefault="00794A04" w:rsidP="005359C0">
      <w:pPr>
        <w:jc w:val="both"/>
      </w:pPr>
      <w:r>
        <w:t>Stages of HF were defined according to the criteria of the American Heart Association/American College of Cardiology (AHA/ACC).</w:t>
      </w:r>
      <w:r>
        <w:rPr>
          <w:vertAlign w:val="superscript"/>
        </w:rPr>
        <w:footnoteReference w:id="5"/>
      </w:r>
      <w:r>
        <w:t xml:space="preserve"> Stage </w:t>
      </w:r>
      <w:proofErr w:type="gramStart"/>
      <w:r>
        <w:t>A</w:t>
      </w:r>
      <w:proofErr w:type="gramEnd"/>
      <w:r>
        <w:t xml:space="preserve"> of HF was defined in the presence of cardiovascular risk factors without evidence of signs or symptoms; stage B was defined as asymptomatic left ventricular dysfunction (ALVD) or demonstrated LV hypertrophy. Stage C indicate patients with current or past symptoms of HF associated with underlying structural heart disease, and Stage D designates patients with truly refractory HF who might be eligible for specialized, advanced treatment strategies, such as mechanical circulatory </w:t>
      </w:r>
      <w:r>
        <w:lastRenderedPageBreak/>
        <w:t>support, procedures to facilitate fluid removal, inotropic infusions, or cardiac transplantation or innovative or experimental surgical procedures, or for end-of-life care, such as hospice.</w:t>
      </w:r>
    </w:p>
    <w:sectPr w:rsidR="00E5271A">
      <w:pgSz w:w="11906" w:h="16838"/>
      <w:pgMar w:top="1418" w:right="1418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A04" w:rsidRDefault="00794A04" w:rsidP="00794A04">
      <w:pPr>
        <w:spacing w:after="0" w:line="240" w:lineRule="auto"/>
      </w:pPr>
      <w:r>
        <w:separator/>
      </w:r>
    </w:p>
  </w:endnote>
  <w:endnote w:type="continuationSeparator" w:id="0">
    <w:p w:rsidR="00794A04" w:rsidRDefault="00794A04" w:rsidP="00794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A04" w:rsidRDefault="00794A04" w:rsidP="00794A04">
      <w:pPr>
        <w:spacing w:after="0" w:line="240" w:lineRule="auto"/>
      </w:pPr>
      <w:r>
        <w:separator/>
      </w:r>
    </w:p>
  </w:footnote>
  <w:footnote w:type="continuationSeparator" w:id="0">
    <w:p w:rsidR="00794A04" w:rsidRDefault="00794A04" w:rsidP="00794A04">
      <w:pPr>
        <w:spacing w:after="0" w:line="240" w:lineRule="auto"/>
      </w:pPr>
      <w:r>
        <w:continuationSeparator/>
      </w:r>
    </w:p>
  </w:footnote>
  <w:footnote w:id="1">
    <w:p w:rsidR="00794A04" w:rsidRDefault="00794A04" w:rsidP="00794A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rStyle w:val="Rimandonotaapidipagina"/>
        </w:rPr>
        <w:footnoteRef/>
      </w:r>
      <w:r w:rsidRPr="00C74B88">
        <w:rPr>
          <w:color w:val="000000"/>
          <w:sz w:val="18"/>
          <w:szCs w:val="18"/>
          <w:lang w:val="fr-CH"/>
        </w:rPr>
        <w:t xml:space="preserve"> Lang RM </w:t>
      </w:r>
      <w:r w:rsidRPr="00C74B88">
        <w:rPr>
          <w:i/>
          <w:color w:val="000000"/>
          <w:sz w:val="18"/>
          <w:szCs w:val="18"/>
          <w:lang w:val="fr-CH"/>
        </w:rPr>
        <w:t>et al.</w:t>
      </w:r>
      <w:r w:rsidRPr="00C74B88">
        <w:rPr>
          <w:color w:val="000000"/>
          <w:sz w:val="18"/>
          <w:szCs w:val="18"/>
          <w:lang w:val="fr-CH"/>
        </w:rPr>
        <w:t xml:space="preserve"> </w:t>
      </w:r>
      <w:proofErr w:type="spellStart"/>
      <w:r w:rsidRPr="00C74B88">
        <w:rPr>
          <w:color w:val="000000"/>
          <w:sz w:val="18"/>
          <w:szCs w:val="18"/>
          <w:lang w:val="fr-CH"/>
        </w:rPr>
        <w:t>Recommendations</w:t>
      </w:r>
      <w:proofErr w:type="spellEnd"/>
      <w:r w:rsidRPr="00C74B88">
        <w:rPr>
          <w:color w:val="000000"/>
          <w:sz w:val="18"/>
          <w:szCs w:val="18"/>
          <w:lang w:val="fr-CH"/>
        </w:rPr>
        <w:t xml:space="preserve"> for </w:t>
      </w:r>
      <w:proofErr w:type="spellStart"/>
      <w:r w:rsidRPr="00C74B88">
        <w:rPr>
          <w:color w:val="000000"/>
          <w:sz w:val="18"/>
          <w:szCs w:val="18"/>
          <w:lang w:val="fr-CH"/>
        </w:rPr>
        <w:t>chamber</w:t>
      </w:r>
      <w:proofErr w:type="spellEnd"/>
      <w:r w:rsidRPr="00C74B88">
        <w:rPr>
          <w:color w:val="000000"/>
          <w:sz w:val="18"/>
          <w:szCs w:val="18"/>
          <w:lang w:val="fr-CH"/>
        </w:rPr>
        <w:t xml:space="preserve"> quantification. </w:t>
      </w:r>
      <w:proofErr w:type="spellStart"/>
      <w:r>
        <w:rPr>
          <w:color w:val="000000"/>
          <w:sz w:val="18"/>
          <w:szCs w:val="18"/>
        </w:rPr>
        <w:t>Eur</w:t>
      </w:r>
      <w:proofErr w:type="spellEnd"/>
      <w:r>
        <w:rPr>
          <w:color w:val="000000"/>
          <w:sz w:val="18"/>
          <w:szCs w:val="18"/>
        </w:rPr>
        <w:t xml:space="preserve"> J Echocardiography. 2006; 7:79-108. </w:t>
      </w:r>
    </w:p>
  </w:footnote>
  <w:footnote w:id="2">
    <w:p w:rsidR="00794A04" w:rsidRDefault="00794A04" w:rsidP="00794A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rStyle w:val="Rimandonotaapidipagina"/>
        </w:rPr>
        <w:footnoteRef/>
      </w:r>
      <w:r>
        <w:rPr>
          <w:color w:val="000000"/>
          <w:sz w:val="18"/>
          <w:szCs w:val="18"/>
        </w:rPr>
        <w:t xml:space="preserve"> Borlaug BA &amp; </w:t>
      </w:r>
      <w:proofErr w:type="spellStart"/>
      <w:r>
        <w:rPr>
          <w:color w:val="000000"/>
          <w:sz w:val="18"/>
          <w:szCs w:val="18"/>
        </w:rPr>
        <w:t>Kass</w:t>
      </w:r>
      <w:proofErr w:type="spellEnd"/>
      <w:r>
        <w:rPr>
          <w:color w:val="000000"/>
          <w:sz w:val="18"/>
          <w:szCs w:val="18"/>
        </w:rPr>
        <w:t xml:space="preserve"> DA. Invasive hemodynamic assessment in heart failure. Heart Fail </w:t>
      </w:r>
      <w:proofErr w:type="spellStart"/>
      <w:r>
        <w:rPr>
          <w:color w:val="000000"/>
          <w:sz w:val="18"/>
          <w:szCs w:val="18"/>
        </w:rPr>
        <w:t>Clin</w:t>
      </w:r>
      <w:proofErr w:type="spellEnd"/>
      <w:r>
        <w:rPr>
          <w:color w:val="000000"/>
          <w:sz w:val="18"/>
          <w:szCs w:val="18"/>
        </w:rPr>
        <w:t>. 2009; 217-28.</w:t>
      </w:r>
    </w:p>
  </w:footnote>
  <w:footnote w:id="3">
    <w:p w:rsidR="00794A04" w:rsidRDefault="00794A04" w:rsidP="00794A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rStyle w:val="Rimandonotaapidipagina"/>
        </w:rPr>
        <w:footnoteRef/>
      </w:r>
      <w:r>
        <w:rPr>
          <w:color w:val="000000"/>
          <w:sz w:val="18"/>
          <w:szCs w:val="18"/>
        </w:rPr>
        <w:t xml:space="preserve"> </w:t>
      </w:r>
      <w:proofErr w:type="gramStart"/>
      <w:r>
        <w:rPr>
          <w:color w:val="000000"/>
          <w:sz w:val="18"/>
          <w:szCs w:val="18"/>
        </w:rPr>
        <w:t>de</w:t>
      </w:r>
      <w:proofErr w:type="gramEnd"/>
      <w:r>
        <w:rPr>
          <w:color w:val="000000"/>
          <w:sz w:val="18"/>
          <w:szCs w:val="18"/>
        </w:rPr>
        <w:t xml:space="preserve"> Simone G </w:t>
      </w:r>
      <w:r>
        <w:rPr>
          <w:i/>
          <w:color w:val="000000"/>
          <w:sz w:val="18"/>
          <w:szCs w:val="18"/>
        </w:rPr>
        <w:t>et al</w:t>
      </w:r>
      <w:r>
        <w:rPr>
          <w:color w:val="000000"/>
          <w:sz w:val="18"/>
          <w:szCs w:val="18"/>
        </w:rPr>
        <w:t>. Influence of obesity on left ventricular midwall mechanics in arterial hypertension. Hypertension. 1996; 276-83.</w:t>
      </w:r>
    </w:p>
  </w:footnote>
  <w:footnote w:id="4">
    <w:p w:rsidR="00794A04" w:rsidRDefault="00794A04" w:rsidP="00794A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rStyle w:val="Rimandonotaapidipagina"/>
        </w:rPr>
        <w:footnoteRef/>
      </w:r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Nagueh</w:t>
      </w:r>
      <w:proofErr w:type="spellEnd"/>
      <w:r>
        <w:rPr>
          <w:color w:val="000000"/>
          <w:sz w:val="18"/>
          <w:szCs w:val="18"/>
        </w:rPr>
        <w:t xml:space="preserve"> SF </w:t>
      </w:r>
      <w:r>
        <w:rPr>
          <w:i/>
          <w:color w:val="000000"/>
          <w:sz w:val="18"/>
          <w:szCs w:val="18"/>
        </w:rPr>
        <w:t>et al</w:t>
      </w:r>
      <w:r>
        <w:rPr>
          <w:color w:val="000000"/>
          <w:sz w:val="18"/>
          <w:szCs w:val="18"/>
        </w:rPr>
        <w:t xml:space="preserve">. Recommendations for the evaluation of left ventricular diastolic function by echocardiography: an update from the American Society of Echocardiography and the European Association of Cardiovascular Imaging. J Am </w:t>
      </w:r>
      <w:proofErr w:type="spellStart"/>
      <w:r>
        <w:rPr>
          <w:color w:val="000000"/>
          <w:sz w:val="18"/>
          <w:szCs w:val="18"/>
        </w:rPr>
        <w:t>Soc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Echocardiogr</w:t>
      </w:r>
      <w:proofErr w:type="spellEnd"/>
      <w:r>
        <w:rPr>
          <w:color w:val="000000"/>
          <w:sz w:val="18"/>
          <w:szCs w:val="18"/>
        </w:rPr>
        <w:t xml:space="preserve">. 2016; </w:t>
      </w:r>
      <w:proofErr w:type="gramStart"/>
      <w:r>
        <w:rPr>
          <w:color w:val="000000"/>
          <w:sz w:val="18"/>
          <w:szCs w:val="18"/>
        </w:rPr>
        <w:t>29 :</w:t>
      </w:r>
      <w:proofErr w:type="gramEnd"/>
      <w:r>
        <w:rPr>
          <w:color w:val="000000"/>
          <w:sz w:val="18"/>
          <w:szCs w:val="18"/>
        </w:rPr>
        <w:t xml:space="preserve"> 277-314.</w:t>
      </w:r>
    </w:p>
  </w:footnote>
  <w:footnote w:id="5">
    <w:p w:rsidR="00794A04" w:rsidRDefault="00794A04" w:rsidP="00794A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rStyle w:val="Rimandonotaapidipagina"/>
        </w:rPr>
        <w:footnoteRef/>
      </w:r>
      <w:r>
        <w:rPr>
          <w:color w:val="000000"/>
          <w:sz w:val="18"/>
          <w:szCs w:val="18"/>
        </w:rPr>
        <w:t xml:space="preserve"> Hunt SA </w:t>
      </w:r>
      <w:r>
        <w:rPr>
          <w:i/>
          <w:color w:val="000000"/>
          <w:sz w:val="18"/>
          <w:szCs w:val="18"/>
        </w:rPr>
        <w:t>et al.</w:t>
      </w:r>
      <w:r>
        <w:rPr>
          <w:color w:val="000000"/>
          <w:sz w:val="18"/>
          <w:szCs w:val="18"/>
        </w:rPr>
        <w:t xml:space="preserve"> 2009 Focused update incorporated into the ACC/AHA 2005 Guidelines for the diagnosis and management of heart failure in adults. J. Am. Coll. </w:t>
      </w:r>
      <w:proofErr w:type="spellStart"/>
      <w:r>
        <w:rPr>
          <w:color w:val="000000"/>
          <w:sz w:val="18"/>
          <w:szCs w:val="18"/>
        </w:rPr>
        <w:t>Cardiol</w:t>
      </w:r>
      <w:proofErr w:type="spellEnd"/>
      <w:r>
        <w:rPr>
          <w:color w:val="000000"/>
          <w:sz w:val="18"/>
          <w:szCs w:val="18"/>
        </w:rPr>
        <w:t>. 2009.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activeWritingStyle w:appName="MSWord" w:lang="fr-CH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A04"/>
    <w:rsid w:val="00296550"/>
    <w:rsid w:val="005359C0"/>
    <w:rsid w:val="006D77C8"/>
    <w:rsid w:val="00794A04"/>
    <w:rsid w:val="00E07912"/>
    <w:rsid w:val="00E5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62AC7-7CBD-41AD-B998-9602A9A25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94A04"/>
    <w:pPr>
      <w:spacing w:after="200" w:line="276" w:lineRule="auto"/>
    </w:pPr>
    <w:rPr>
      <w:rFonts w:ascii="Calibri" w:eastAsia="Calibri" w:hAnsi="Calibri" w:cs="Calibri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uiPriority w:val="99"/>
    <w:semiHidden/>
    <w:unhideWhenUsed/>
    <w:rsid w:val="00794A04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77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77C8"/>
    <w:rPr>
      <w:rFonts w:ascii="Segoe UI" w:eastAsia="Calibr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JMTA Meessen</dc:creator>
  <cp:keywords/>
  <dc:description/>
  <cp:lastModifiedBy>JMTA Meessen</cp:lastModifiedBy>
  <cp:revision>4</cp:revision>
  <cp:lastPrinted>2021-05-17T10:18:00Z</cp:lastPrinted>
  <dcterms:created xsi:type="dcterms:W3CDTF">2021-03-25T14:30:00Z</dcterms:created>
  <dcterms:modified xsi:type="dcterms:W3CDTF">2021-06-18T14:33:00Z</dcterms:modified>
</cp:coreProperties>
</file>